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C0129B" w:rsidRDefault="00195A48" w:rsidP="00A65BDF">
      <w:pPr>
        <w:pStyle w:val="Header"/>
        <w:tabs>
          <w:tab w:val="right" w:pos="9000"/>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w:t>
      </w:r>
      <w:r w:rsidR="00A71F84">
        <w:rPr>
          <w:noProof w:val="0"/>
          <w:sz w:val="24"/>
          <w:szCs w:val="24"/>
          <w:lang w:val="en-GB"/>
        </w:rPr>
        <w:t>Ad-hoc</w:t>
      </w:r>
      <w:r w:rsidRPr="00EC3D19">
        <w:rPr>
          <w:bCs/>
          <w:noProof w:val="0"/>
          <w:sz w:val="24"/>
          <w:lang w:val="en-GB"/>
        </w:rPr>
        <w:tab/>
      </w:r>
      <w:r w:rsidR="00B85528">
        <w:rPr>
          <w:bCs/>
          <w:noProof w:val="0"/>
          <w:sz w:val="24"/>
          <w:lang w:val="en-GB"/>
        </w:rPr>
        <w:t xml:space="preserve">  </w:t>
      </w:r>
      <w:r w:rsidR="00482E60">
        <w:rPr>
          <w:bCs/>
          <w:noProof w:val="0"/>
          <w:sz w:val="24"/>
          <w:lang w:val="en-GB"/>
        </w:rPr>
        <w:t xml:space="preserve">   </w:t>
      </w:r>
      <w:r w:rsidRPr="00097A00">
        <w:rPr>
          <w:bCs/>
          <w:noProof w:val="0"/>
          <w:sz w:val="24"/>
          <w:lang w:val="en-GB" w:eastAsia="ja-JP"/>
        </w:rPr>
        <w:t>R2-</w:t>
      </w:r>
      <w:r w:rsidR="0026054F" w:rsidRPr="00097A00">
        <w:rPr>
          <w:bCs/>
          <w:noProof w:val="0"/>
          <w:sz w:val="24"/>
          <w:lang w:val="en-GB" w:eastAsia="ja-JP"/>
        </w:rPr>
        <w:t>1</w:t>
      </w:r>
      <w:r w:rsidR="00F5287A" w:rsidRPr="00097A00">
        <w:rPr>
          <w:bCs/>
          <w:noProof w:val="0"/>
          <w:sz w:val="24"/>
          <w:lang w:val="en-GB" w:eastAsia="ja-JP"/>
        </w:rPr>
        <w:t>7</w:t>
      </w:r>
      <w:r w:rsidR="00995B37">
        <w:rPr>
          <w:bCs/>
          <w:noProof w:val="0"/>
          <w:sz w:val="24"/>
          <w:lang w:val="en-GB" w:eastAsia="ja-JP"/>
        </w:rPr>
        <w:t>0</w:t>
      </w:r>
      <w:r w:rsidR="00FF5CC0">
        <w:rPr>
          <w:bCs/>
          <w:noProof w:val="0"/>
          <w:sz w:val="24"/>
          <w:lang w:val="en-GB" w:eastAsia="ja-JP"/>
        </w:rPr>
        <w:t>6885</w:t>
      </w:r>
      <w:bookmarkStart w:id="1" w:name="_GoBack"/>
      <w:bookmarkEnd w:id="1"/>
    </w:p>
    <w:p w:rsidR="00B4542E" w:rsidRPr="007C1EDD" w:rsidRDefault="00A71F84" w:rsidP="00482E60">
      <w:pPr>
        <w:pStyle w:val="Header"/>
        <w:tabs>
          <w:tab w:val="right" w:pos="9000"/>
        </w:tabs>
        <w:rPr>
          <w:bCs/>
          <w:noProof w:val="0"/>
          <w:sz w:val="24"/>
          <w:lang w:val="en-GB" w:eastAsia="ja-JP"/>
        </w:rPr>
      </w:pPr>
      <w:r>
        <w:rPr>
          <w:rFonts w:eastAsia="Malgun Gothic"/>
          <w:bCs/>
          <w:noProof w:val="0"/>
          <w:sz w:val="24"/>
          <w:lang w:eastAsia="ko-KR"/>
        </w:rPr>
        <w:t>Qingdao, Ch</w:t>
      </w:r>
      <w:r w:rsidR="00481CA7" w:rsidRPr="00723F87">
        <w:rPr>
          <w:rFonts w:eastAsia="Malgun Gothic"/>
          <w:bCs/>
          <w:noProof w:val="0"/>
          <w:sz w:val="24"/>
          <w:lang w:eastAsia="ko-KR"/>
        </w:rPr>
        <w:t xml:space="preserve">ina, </w:t>
      </w:r>
      <w:r>
        <w:rPr>
          <w:rFonts w:eastAsia="Malgun Gothic"/>
          <w:bCs/>
          <w:noProof w:val="0"/>
          <w:sz w:val="24"/>
          <w:lang w:eastAsia="ko-KR"/>
        </w:rPr>
        <w:t>27</w:t>
      </w:r>
      <w:r w:rsidR="00481CA7" w:rsidRPr="00723F87">
        <w:rPr>
          <w:rFonts w:eastAsia="Malgun Gothic"/>
          <w:bCs/>
          <w:noProof w:val="0"/>
          <w:sz w:val="24"/>
          <w:lang w:eastAsia="ko-KR"/>
        </w:rPr>
        <w:t xml:space="preserve">th – </w:t>
      </w:r>
      <w:r>
        <w:rPr>
          <w:rFonts w:eastAsia="Malgun Gothic"/>
          <w:bCs/>
          <w:noProof w:val="0"/>
          <w:sz w:val="24"/>
          <w:lang w:eastAsia="ko-KR"/>
        </w:rPr>
        <w:t>2</w:t>
      </w:r>
      <w:r w:rsidR="00481CA7" w:rsidRPr="00723F87">
        <w:rPr>
          <w:rFonts w:eastAsia="Malgun Gothic"/>
          <w:bCs/>
          <w:noProof w:val="0"/>
          <w:sz w:val="24"/>
          <w:lang w:eastAsia="ko-KR"/>
        </w:rPr>
        <w:t xml:space="preserve">9th </w:t>
      </w:r>
      <w:r>
        <w:rPr>
          <w:rFonts w:eastAsia="Malgun Gothic"/>
          <w:bCs/>
          <w:noProof w:val="0"/>
          <w:sz w:val="24"/>
          <w:lang w:eastAsia="ko-KR"/>
        </w:rPr>
        <w:t>June</w:t>
      </w:r>
      <w:r w:rsidR="00481CA7" w:rsidRPr="00723F87">
        <w:rPr>
          <w:rFonts w:eastAsia="Malgun Gothic"/>
          <w:bCs/>
          <w:noProof w:val="0"/>
          <w:sz w:val="24"/>
          <w:lang w:eastAsia="ko-KR"/>
        </w:rPr>
        <w:t xml:space="preserve"> 2017</w:t>
      </w:r>
      <w:r>
        <w:rPr>
          <w:rFonts w:eastAsia="Malgun Gothic"/>
          <w:bCs/>
          <w:noProof w:val="0"/>
          <w:sz w:val="24"/>
          <w:lang w:eastAsia="ko-KR"/>
        </w:rPr>
        <w:t xml:space="preserve">              </w:t>
      </w:r>
      <w:r w:rsidR="002C26B2">
        <w:rPr>
          <w:rFonts w:eastAsia="Malgun Gothic"/>
          <w:bCs/>
          <w:noProof w:val="0"/>
          <w:sz w:val="24"/>
          <w:lang w:eastAsia="ko-KR"/>
        </w:rPr>
        <w:t xml:space="preserve">  </w:t>
      </w:r>
      <w:r>
        <w:rPr>
          <w:rFonts w:eastAsia="Malgun Gothic"/>
          <w:bCs/>
          <w:noProof w:val="0"/>
          <w:sz w:val="24"/>
          <w:lang w:eastAsia="ko-KR"/>
        </w:rPr>
        <w:t>(Re-submission of</w:t>
      </w:r>
      <w:r>
        <w:rPr>
          <w:bCs/>
          <w:noProof w:val="0"/>
          <w:sz w:val="24"/>
          <w:lang w:val="en-GB"/>
        </w:rPr>
        <w:t xml:space="preserve"> </w:t>
      </w:r>
      <w:r w:rsidRPr="00097A00">
        <w:rPr>
          <w:bCs/>
          <w:noProof w:val="0"/>
          <w:sz w:val="24"/>
          <w:lang w:val="en-GB" w:eastAsia="ja-JP"/>
        </w:rPr>
        <w:t>R2-17</w:t>
      </w:r>
      <w:r>
        <w:rPr>
          <w:bCs/>
          <w:noProof w:val="0"/>
          <w:sz w:val="24"/>
          <w:lang w:val="en-GB" w:eastAsia="ja-JP"/>
        </w:rPr>
        <w:t>05331</w:t>
      </w:r>
      <w:r>
        <w:rPr>
          <w:bCs/>
          <w:noProof w:val="0"/>
          <w:sz w:val="24"/>
          <w:lang w:val="en-GB" w:eastAsia="ja-JP"/>
        </w:rPr>
        <w:t>)</w:t>
      </w:r>
      <w:r w:rsidR="00AB659F">
        <w:rPr>
          <w:bCs/>
          <w:noProof w:val="0"/>
          <w:sz w:val="24"/>
          <w:lang w:val="en-GB"/>
        </w:rPr>
        <w:tab/>
      </w:r>
      <w:r w:rsidR="00B4542E" w:rsidRPr="007C1EDD">
        <w:rPr>
          <w:bCs/>
          <w:noProof w:val="0"/>
          <w:sz w:val="24"/>
          <w:lang w:val="en-GB"/>
        </w:rPr>
        <w:tab/>
      </w:r>
    </w:p>
    <w:p w:rsidR="00B4542E" w:rsidRPr="00385454" w:rsidRDefault="00406D34" w:rsidP="00385454">
      <w:pPr>
        <w:tabs>
          <w:tab w:val="left" w:pos="1985"/>
        </w:tabs>
        <w:ind w:left="1985" w:hanging="1985"/>
        <w:rPr>
          <w:rFonts w:ascii="Arial" w:hAnsi="Arial" w:cs="Arial"/>
          <w:b/>
          <w:bCs/>
          <w:sz w:val="24"/>
        </w:rPr>
      </w:pPr>
      <w:r w:rsidRPr="00385454">
        <w:rPr>
          <w:rFonts w:ascii="Arial" w:hAnsi="Arial" w:cs="Arial"/>
          <w:b/>
          <w:bCs/>
          <w:sz w:val="24"/>
        </w:rPr>
        <w:t>Agenda item:</w:t>
      </w:r>
      <w:r w:rsidRPr="00385454">
        <w:rPr>
          <w:rFonts w:ascii="Arial" w:hAnsi="Arial" w:cs="Arial"/>
          <w:b/>
          <w:bCs/>
          <w:sz w:val="24"/>
        </w:rPr>
        <w:tab/>
      </w:r>
      <w:r w:rsidR="00613742">
        <w:rPr>
          <w:rFonts w:ascii="Arial" w:hAnsi="Arial" w:cs="Arial"/>
          <w:b/>
          <w:bCs/>
          <w:sz w:val="24"/>
        </w:rPr>
        <w:t>10</w:t>
      </w:r>
      <w:r w:rsidR="00097A00">
        <w:rPr>
          <w:rFonts w:ascii="Arial" w:hAnsi="Arial" w:cs="Arial"/>
          <w:b/>
          <w:bCs/>
          <w:sz w:val="24"/>
        </w:rPr>
        <w:t>.</w:t>
      </w:r>
      <w:r w:rsidR="00613742">
        <w:rPr>
          <w:rFonts w:ascii="Arial" w:hAnsi="Arial" w:cs="Arial"/>
          <w:b/>
          <w:bCs/>
          <w:sz w:val="24"/>
        </w:rPr>
        <w:t>4</w:t>
      </w:r>
      <w:r w:rsidR="00097A00">
        <w:rPr>
          <w:rFonts w:ascii="Arial" w:hAnsi="Arial" w:cs="Arial"/>
          <w:b/>
          <w:bCs/>
          <w:sz w:val="24"/>
        </w:rPr>
        <w:t>.</w:t>
      </w:r>
      <w:r w:rsidR="00613742">
        <w:rPr>
          <w:rFonts w:ascii="Arial" w:hAnsi="Arial" w:cs="Arial"/>
          <w:b/>
          <w:bCs/>
          <w:sz w:val="24"/>
        </w:rPr>
        <w:t>1</w:t>
      </w:r>
      <w:r w:rsidR="00097A00">
        <w:rPr>
          <w:rFonts w:ascii="Arial" w:hAnsi="Arial" w:cs="Arial"/>
          <w:b/>
          <w:bCs/>
          <w:sz w:val="24"/>
        </w:rPr>
        <w:t>.</w:t>
      </w:r>
      <w:r w:rsidR="00613742">
        <w:rPr>
          <w:rFonts w:ascii="Arial" w:hAnsi="Arial" w:cs="Arial"/>
          <w:b/>
          <w:bCs/>
          <w:sz w:val="24"/>
        </w:rPr>
        <w:t>8</w:t>
      </w:r>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613742">
        <w:rPr>
          <w:rFonts w:ascii="Arial" w:hAnsi="Arial" w:cs="Arial"/>
          <w:b/>
          <w:bCs/>
          <w:sz w:val="24"/>
        </w:rPr>
        <w:t xml:space="preserve">RRC signalling to support </w:t>
      </w:r>
      <w:r w:rsidR="002978BD">
        <w:rPr>
          <w:rFonts w:ascii="Arial" w:hAnsi="Arial" w:cs="Arial"/>
          <w:b/>
          <w:bCs/>
          <w:sz w:val="24"/>
        </w:rPr>
        <w:t>LTE</w:t>
      </w:r>
      <w:r w:rsidR="00216DDD">
        <w:rPr>
          <w:rFonts w:ascii="Arial" w:hAnsi="Arial" w:cs="Arial"/>
          <w:b/>
          <w:bCs/>
          <w:sz w:val="24"/>
        </w:rPr>
        <w:t>+</w:t>
      </w:r>
      <w:r w:rsidR="002978BD">
        <w:rPr>
          <w:rFonts w:ascii="Arial" w:hAnsi="Arial" w:cs="Arial"/>
          <w:b/>
          <w:bCs/>
          <w:sz w:val="24"/>
        </w:rPr>
        <w:t xml:space="preserve">NR </w:t>
      </w:r>
      <w:r w:rsidR="00DA46CA">
        <w:rPr>
          <w:rFonts w:ascii="Arial" w:hAnsi="Arial" w:cs="Arial"/>
          <w:b/>
          <w:bCs/>
          <w:sz w:val="24"/>
        </w:rPr>
        <w:t>Co-existence</w:t>
      </w:r>
      <w:r w:rsidR="00CF2BF3">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216DDD" w:rsidRDefault="00B4542E" w:rsidP="001A0BAE">
      <w:pPr>
        <w:pStyle w:val="Heading1"/>
        <w:rPr>
          <w:sz w:val="32"/>
          <w:szCs w:val="32"/>
        </w:rPr>
      </w:pPr>
      <w:r w:rsidRPr="00216DDD">
        <w:rPr>
          <w:sz w:val="32"/>
          <w:szCs w:val="32"/>
        </w:rPr>
        <w:t>Introduction</w:t>
      </w:r>
    </w:p>
    <w:p w:rsidR="007F1C7D" w:rsidRDefault="00AB659F" w:rsidP="007B031A">
      <w:pPr>
        <w:jc w:val="both"/>
      </w:pPr>
      <w:r>
        <w:t>R</w:t>
      </w:r>
      <w:r w:rsidR="00482E60">
        <w:t xml:space="preserve">equirements for co-existence and interworking with legacy RATs were agreed in RAN TR 38.913 </w:t>
      </w:r>
      <w:r w:rsidR="00EB4D6D">
        <w:t>[1]</w:t>
      </w:r>
      <w:r w:rsidR="00482E60">
        <w:t xml:space="preserve">. </w:t>
      </w:r>
      <w:r w:rsidR="00481CA7">
        <w:t xml:space="preserve">Further the NR WID captures the support of co-existence of LTE and NR for both UL and DL. </w:t>
      </w:r>
      <w:r w:rsidR="002978BD">
        <w:t xml:space="preserve">RAN1 </w:t>
      </w:r>
      <w:r w:rsidR="007B031A">
        <w:t xml:space="preserve">has done considerable progress to support </w:t>
      </w:r>
      <w:r w:rsidR="002978BD">
        <w:t>the co-existence scenarios for LTE RAT and NR RAT</w:t>
      </w:r>
      <w:r w:rsidR="007B031A">
        <w:t xml:space="preserve">. Refer </w:t>
      </w:r>
      <w:r w:rsidR="00D1334B">
        <w:t xml:space="preserve">to </w:t>
      </w:r>
      <w:r w:rsidR="007B031A">
        <w:t xml:space="preserve">the RAN1 agreements in the Annex. </w:t>
      </w:r>
      <w:r w:rsidR="002978BD">
        <w:t xml:space="preserve"> </w:t>
      </w:r>
      <w:r w:rsidR="00BF794D">
        <w:t xml:space="preserve">In this contribution we </w:t>
      </w:r>
      <w:r w:rsidR="007F1C7D">
        <w:rPr>
          <w:rFonts w:eastAsia="Batang"/>
          <w:color w:val="000000"/>
        </w:rPr>
        <w:t xml:space="preserve">discuss possible mechanisms and specification supports </w:t>
      </w:r>
      <w:r w:rsidR="007B031A">
        <w:rPr>
          <w:rFonts w:eastAsia="Batang"/>
          <w:color w:val="000000"/>
        </w:rPr>
        <w:t xml:space="preserve">from RAN2 point of view </w:t>
      </w:r>
      <w:r w:rsidR="007F1C7D">
        <w:rPr>
          <w:rFonts w:eastAsia="Batang"/>
          <w:color w:val="000000"/>
        </w:rPr>
        <w:t>to achieve LTE-NR coexistence.</w:t>
      </w:r>
    </w:p>
    <w:p w:rsidR="00706645" w:rsidRPr="00216DDD" w:rsidRDefault="00EA50FF" w:rsidP="00706645">
      <w:pPr>
        <w:pStyle w:val="Heading1"/>
        <w:rPr>
          <w:sz w:val="32"/>
          <w:szCs w:val="32"/>
        </w:rPr>
      </w:pPr>
      <w:r>
        <w:rPr>
          <w:sz w:val="32"/>
          <w:szCs w:val="32"/>
        </w:rPr>
        <w:t>Main Co-existence Scenario</w:t>
      </w:r>
    </w:p>
    <w:p w:rsidR="00E22669" w:rsidRDefault="007F1C7D" w:rsidP="007B031A">
      <w:pPr>
        <w:jc w:val="both"/>
      </w:pPr>
      <w:r>
        <w:t xml:space="preserve">The </w:t>
      </w:r>
      <w:r w:rsidR="003023D1">
        <w:t>main s</w:t>
      </w:r>
      <w:r>
        <w:t xml:space="preserve">cenario which </w:t>
      </w:r>
      <w:r w:rsidR="007B031A">
        <w:t xml:space="preserve">RAN1 is discussing to </w:t>
      </w:r>
      <w:r>
        <w:t>address the co-existence issue for LTE and NR</w:t>
      </w:r>
      <w:r w:rsidR="007B031A">
        <w:t xml:space="preserve"> is shown in Figure 1</w:t>
      </w:r>
      <w:r>
        <w:t>.</w:t>
      </w:r>
      <w:r w:rsidR="003023D1">
        <w:t xml:space="preserve"> </w:t>
      </w:r>
      <w:r w:rsidR="007B031A">
        <w:t xml:space="preserve">The NR Cell and LTE Cell are served on the same carrier frequency. The carrier frequency could be either DL carrier or UL carrier on which the NR Cell and LTE Cell is served. </w:t>
      </w:r>
      <w:r w:rsidR="00057801">
        <w:t>T</w:t>
      </w:r>
      <w:r w:rsidR="003023D1" w:rsidRPr="004A730D">
        <w:t xml:space="preserve">his is a likely scenario during initial </w:t>
      </w:r>
      <w:r w:rsidR="0049521E">
        <w:t>NR</w:t>
      </w:r>
      <w:r w:rsidR="003023D1" w:rsidRPr="004A730D">
        <w:t xml:space="preserve"> deployments </w:t>
      </w:r>
      <w:r w:rsidR="004A730D">
        <w:t>which a</w:t>
      </w:r>
      <w:r w:rsidR="004A730D" w:rsidRPr="004A730D">
        <w:t xml:space="preserve">llows for smooth technology migration from LTE to </w:t>
      </w:r>
      <w:r w:rsidR="0049521E">
        <w:t>NR</w:t>
      </w:r>
      <w:r w:rsidR="004A730D" w:rsidRPr="004A730D">
        <w:t xml:space="preserve"> without the burden of additional spectrum allocation</w:t>
      </w:r>
      <w:r w:rsidR="00A254AF">
        <w:t xml:space="preserve">. </w:t>
      </w:r>
      <w:r w:rsidR="00E22669">
        <w:t xml:space="preserve">In this scenario LTE Cells and </w:t>
      </w:r>
      <w:r w:rsidR="0049521E">
        <w:t>NR</w:t>
      </w:r>
      <w:r w:rsidR="00E22669">
        <w:t xml:space="preserve"> Cells are served by the same carrier frequency</w:t>
      </w:r>
      <w:r w:rsidR="006C294F">
        <w:t xml:space="preserve"> as shown in Figure </w:t>
      </w:r>
      <w:r w:rsidR="007B031A">
        <w:t>1</w:t>
      </w:r>
      <w:r w:rsidR="00834DBA">
        <w:t xml:space="preserve"> with two possible deployment options</w:t>
      </w:r>
      <w:r w:rsidR="00E22669">
        <w:t xml:space="preserve">. </w:t>
      </w:r>
      <w:r w:rsidR="00834DBA">
        <w:rPr>
          <w:rFonts w:eastAsia="Batang"/>
          <w:color w:val="000000"/>
        </w:rPr>
        <w:t xml:space="preserve">The first one is </w:t>
      </w:r>
      <w:r w:rsidR="00834DBA">
        <w:rPr>
          <w:rFonts w:eastAsia="Batang" w:hint="eastAsia"/>
          <w:color w:val="000000"/>
        </w:rPr>
        <w:t>the</w:t>
      </w:r>
      <w:r w:rsidR="00834DBA">
        <w:rPr>
          <w:rFonts w:eastAsia="Batang"/>
          <w:color w:val="000000"/>
        </w:rPr>
        <w:t xml:space="preserve"> co-located deployment </w:t>
      </w:r>
      <w:r w:rsidR="00834DBA">
        <w:rPr>
          <w:rFonts w:eastAsia="Batang" w:hint="eastAsia"/>
          <w:color w:val="000000"/>
        </w:rPr>
        <w:t xml:space="preserve">where </w:t>
      </w:r>
      <w:r w:rsidR="00834DBA" w:rsidRPr="00BF16D8">
        <w:rPr>
          <w:rFonts w:eastAsia="Batang"/>
          <w:color w:val="000000"/>
        </w:rPr>
        <w:t xml:space="preserve">LTE and </w:t>
      </w:r>
      <w:r w:rsidR="00834DBA">
        <w:rPr>
          <w:rFonts w:eastAsia="Batang"/>
          <w:color w:val="000000"/>
        </w:rPr>
        <w:t>NR</w:t>
      </w:r>
      <w:r w:rsidR="00834DBA" w:rsidRPr="00BF16D8">
        <w:rPr>
          <w:rFonts w:eastAsia="Batang"/>
          <w:color w:val="000000"/>
        </w:rPr>
        <w:t xml:space="preserve"> functionalities are incorporated within a single </w:t>
      </w:r>
      <w:proofErr w:type="spellStart"/>
      <w:r w:rsidR="00834DBA">
        <w:rPr>
          <w:rFonts w:eastAsia="Batang"/>
          <w:color w:val="000000"/>
        </w:rPr>
        <w:t>g</w:t>
      </w:r>
      <w:r w:rsidR="00834DBA" w:rsidRPr="00BF16D8">
        <w:rPr>
          <w:rFonts w:eastAsia="Batang"/>
          <w:color w:val="000000"/>
        </w:rPr>
        <w:t>NB</w:t>
      </w:r>
      <w:proofErr w:type="spellEnd"/>
      <w:r w:rsidR="00834DBA">
        <w:rPr>
          <w:rFonts w:eastAsia="Batang"/>
          <w:color w:val="000000"/>
        </w:rPr>
        <w:t xml:space="preserve">. In such deployment, NR can be independently operated on orthogonal resources with a tight coordination between LTE and NR operations. </w:t>
      </w:r>
      <w:r w:rsidR="00834DBA">
        <w:rPr>
          <w:rFonts w:eastAsia="Batang" w:hint="eastAsia"/>
          <w:color w:val="000000"/>
        </w:rPr>
        <w:t xml:space="preserve">The </w:t>
      </w:r>
      <w:r w:rsidR="00834DBA">
        <w:rPr>
          <w:rFonts w:eastAsia="Batang"/>
          <w:color w:val="000000"/>
        </w:rPr>
        <w:t xml:space="preserve">second is </w:t>
      </w:r>
      <w:r w:rsidR="00834DBA">
        <w:rPr>
          <w:rFonts w:eastAsia="Batang" w:hint="eastAsia"/>
          <w:color w:val="000000"/>
        </w:rPr>
        <w:t xml:space="preserve">the </w:t>
      </w:r>
      <w:r w:rsidR="00834DBA">
        <w:rPr>
          <w:rFonts w:eastAsia="Batang"/>
          <w:color w:val="000000"/>
        </w:rPr>
        <w:t>geographically separated deployment,</w:t>
      </w:r>
      <w:r w:rsidR="00834DBA">
        <w:rPr>
          <w:rFonts w:eastAsia="Batang" w:hint="eastAsia"/>
          <w:color w:val="000000"/>
        </w:rPr>
        <w:t xml:space="preserve"> where</w:t>
      </w:r>
      <w:r w:rsidR="00834DBA">
        <w:rPr>
          <w:rFonts w:eastAsia="Batang"/>
          <w:color w:val="000000"/>
        </w:rPr>
        <w:t xml:space="preserve"> </w:t>
      </w:r>
      <w:r w:rsidR="00834DBA" w:rsidRPr="00BF16D8">
        <w:rPr>
          <w:rFonts w:eastAsia="Batang"/>
          <w:color w:val="000000"/>
        </w:rPr>
        <w:t>an</w:t>
      </w:r>
      <w:r w:rsidR="00834DBA" w:rsidRPr="00BF16D8">
        <w:rPr>
          <w:rFonts w:eastAsia="Batang" w:hint="eastAsia"/>
          <w:color w:val="000000"/>
        </w:rPr>
        <w:t xml:space="preserve"> LTE </w:t>
      </w:r>
      <w:proofErr w:type="spellStart"/>
      <w:r w:rsidR="00834DBA" w:rsidRPr="00BF16D8">
        <w:rPr>
          <w:rFonts w:eastAsia="Batang" w:hint="eastAsia"/>
          <w:color w:val="000000"/>
        </w:rPr>
        <w:t>e</w:t>
      </w:r>
      <w:r w:rsidR="00834DBA" w:rsidRPr="00BF16D8">
        <w:rPr>
          <w:rFonts w:eastAsia="Batang"/>
          <w:color w:val="000000"/>
        </w:rPr>
        <w:t>NB</w:t>
      </w:r>
      <w:proofErr w:type="spellEnd"/>
      <w:r w:rsidR="00834DBA" w:rsidRPr="00BF16D8">
        <w:rPr>
          <w:rFonts w:eastAsia="Batang"/>
          <w:color w:val="000000"/>
        </w:rPr>
        <w:t xml:space="preserve"> and a</w:t>
      </w:r>
      <w:r w:rsidR="00834DBA">
        <w:rPr>
          <w:rFonts w:eastAsia="Batang"/>
          <w:color w:val="000000"/>
        </w:rPr>
        <w:t>n</w:t>
      </w:r>
      <w:r w:rsidR="00834DBA" w:rsidRPr="00BF16D8">
        <w:rPr>
          <w:rFonts w:eastAsia="Batang"/>
          <w:color w:val="000000"/>
        </w:rPr>
        <w:t xml:space="preserve"> </w:t>
      </w:r>
      <w:r w:rsidR="00834DBA">
        <w:rPr>
          <w:rFonts w:eastAsia="Batang"/>
          <w:color w:val="000000"/>
        </w:rPr>
        <w:t>NR</w:t>
      </w:r>
      <w:r w:rsidR="00834DBA" w:rsidRPr="00BF16D8">
        <w:rPr>
          <w:rFonts w:eastAsia="Batang"/>
          <w:color w:val="000000"/>
        </w:rPr>
        <w:t xml:space="preserve"> </w:t>
      </w:r>
      <w:proofErr w:type="spellStart"/>
      <w:r w:rsidR="00834DBA">
        <w:rPr>
          <w:rFonts w:eastAsia="Batang"/>
          <w:color w:val="000000"/>
        </w:rPr>
        <w:t>g</w:t>
      </w:r>
      <w:r w:rsidR="00834DBA" w:rsidRPr="00BF16D8">
        <w:rPr>
          <w:rFonts w:eastAsia="Batang"/>
          <w:color w:val="000000"/>
        </w:rPr>
        <w:t>NB</w:t>
      </w:r>
      <w:proofErr w:type="spellEnd"/>
      <w:r w:rsidR="00834DBA" w:rsidRPr="00BF16D8">
        <w:rPr>
          <w:rFonts w:eastAsia="Batang"/>
          <w:color w:val="000000"/>
        </w:rPr>
        <w:t xml:space="preserve"> are geographically separated</w:t>
      </w:r>
      <w:r w:rsidR="00834DBA">
        <w:rPr>
          <w:rFonts w:eastAsia="Batang" w:hint="eastAsia"/>
          <w:color w:val="000000"/>
        </w:rPr>
        <w:t xml:space="preserve"> but they </w:t>
      </w:r>
      <w:r w:rsidR="00834DBA">
        <w:rPr>
          <w:rFonts w:eastAsia="Batang"/>
          <w:color w:val="000000"/>
        </w:rPr>
        <w:t xml:space="preserve">create </w:t>
      </w:r>
      <w:r w:rsidR="00834DBA">
        <w:rPr>
          <w:rFonts w:eastAsia="Batang" w:hint="eastAsia"/>
          <w:color w:val="000000"/>
        </w:rPr>
        <w:t>interfere</w:t>
      </w:r>
      <w:r w:rsidR="00834DBA">
        <w:rPr>
          <w:rFonts w:eastAsia="Batang"/>
          <w:color w:val="000000"/>
        </w:rPr>
        <w:t>nce to</w:t>
      </w:r>
      <w:r w:rsidR="00834DBA">
        <w:rPr>
          <w:rFonts w:eastAsia="Batang" w:hint="eastAsia"/>
          <w:color w:val="000000"/>
        </w:rPr>
        <w:t xml:space="preserve"> each other</w:t>
      </w:r>
      <w:r w:rsidR="00834DBA">
        <w:rPr>
          <w:rFonts w:eastAsia="Batang"/>
          <w:color w:val="000000"/>
        </w:rPr>
        <w:t xml:space="preserve">. </w:t>
      </w:r>
      <w:r w:rsidR="00E22669">
        <w:t xml:space="preserve">This deployment scenario resembles co-channel </w:t>
      </w:r>
      <w:proofErr w:type="spellStart"/>
      <w:r w:rsidR="00E22669">
        <w:t>HetNet</w:t>
      </w:r>
      <w:proofErr w:type="spellEnd"/>
      <w:r w:rsidR="00E22669">
        <w:t xml:space="preserve"> deployment of LTE and </w:t>
      </w:r>
      <w:r w:rsidR="0049521E">
        <w:t>NR</w:t>
      </w:r>
      <w:r w:rsidR="00E22669">
        <w:t xml:space="preserve">. Interference co-ordination and interference avoidance techniques need to be employed </w:t>
      </w:r>
      <w:r w:rsidR="00597281">
        <w:t xml:space="preserve">to support </w:t>
      </w:r>
      <w:r w:rsidR="00E22669">
        <w:t xml:space="preserve">such </w:t>
      </w:r>
      <w:r w:rsidR="00834DBA">
        <w:t>deployment option</w:t>
      </w:r>
      <w:r w:rsidR="00C616DF">
        <w:t xml:space="preserve"> with some level of co-ordination</w:t>
      </w:r>
      <w:r w:rsidR="00E22669">
        <w:t>.</w:t>
      </w:r>
      <w:r w:rsidR="00216DDD">
        <w:t xml:space="preserve"> There may be other possibilities in this scenario depending on Carrier aggregation (CA) deployment or Dual connectivity deployment (DC)</w:t>
      </w:r>
    </w:p>
    <w:p w:rsidR="00932A94" w:rsidRDefault="00A65BDF" w:rsidP="00057801">
      <w:pPr>
        <w:spacing w:after="0"/>
        <w:ind w:left="7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1441938</wp:posOffset>
                </wp:positionH>
                <wp:positionV relativeFrom="paragraph">
                  <wp:posOffset>26307</wp:posOffset>
                </wp:positionV>
                <wp:extent cx="3145135" cy="1348740"/>
                <wp:effectExtent l="0" t="0" r="0" b="3810"/>
                <wp:wrapNone/>
                <wp:docPr id="9"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5135" cy="1348740"/>
                          <a:chOff x="3707" y="2404"/>
                          <a:chExt cx="4385" cy="2124"/>
                        </a:xfrm>
                      </wpg:grpSpPr>
                      <wps:wsp>
                        <wps:cNvPr id="10" name="Text Box 2"/>
                        <wps:cNvSpPr txBox="1">
                          <a:spLocks noChangeArrowheads="1"/>
                        </wps:cNvSpPr>
                        <wps:spPr bwMode="auto">
                          <a:xfrm>
                            <a:off x="5354" y="2404"/>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Default="00AF709E" w:rsidP="00E22669">
                              <w:r>
                                <w:t>X1</w:t>
                              </w:r>
                              <w:r w:rsidR="00E22669">
                                <w:t xml:space="preserve"> MHz</w:t>
                              </w:r>
                            </w:p>
                          </w:txbxContent>
                        </wps:txbx>
                        <wps:bodyPr rot="0" vert="horz" wrap="square" lIns="91440" tIns="45720" rIns="91440" bIns="45720" anchor="t" anchorCtr="0" upright="1">
                          <a:noAutofit/>
                        </wps:bodyPr>
                      </wps:wsp>
                      <wps:wsp>
                        <wps:cNvPr id="11" name="AutoShape 64"/>
                        <wps:cNvCnPr>
                          <a:cxnSpLocks noChangeShapeType="1"/>
                        </wps:cNvCnPr>
                        <wps:spPr bwMode="auto">
                          <a:xfrm>
                            <a:off x="4306" y="4086"/>
                            <a:ext cx="3449"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66"/>
                        <wps:cNvCnPr>
                          <a:cxnSpLocks noChangeShapeType="1"/>
                        </wps:cNvCnPr>
                        <wps:spPr bwMode="auto">
                          <a:xfrm flipV="1">
                            <a:off x="4927" y="2748"/>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 name="Text Box 2"/>
                        <wps:cNvSpPr txBox="1">
                          <a:spLocks noChangeArrowheads="1"/>
                        </wps:cNvSpPr>
                        <wps:spPr bwMode="auto">
                          <a:xfrm>
                            <a:off x="3707" y="4184"/>
                            <a:ext cx="438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Pr="00932A94" w:rsidRDefault="006C294F" w:rsidP="00E22669">
                              <w:pPr>
                                <w:rPr>
                                  <w:lang w:val="en-US"/>
                                </w:rPr>
                              </w:pPr>
                              <w:r w:rsidRPr="00932A94">
                                <w:rPr>
                                  <w:lang w:val="en-US"/>
                                </w:rPr>
                                <w:t xml:space="preserve">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r w:rsidR="007B031A">
                                <w:rPr>
                                  <w:lang w:val="en-US"/>
                                </w:rPr>
                                <w:t xml:space="preserve"> (DL or UL)</w:t>
                              </w:r>
                            </w:p>
                          </w:txbxContent>
                        </wps:txbx>
                        <wps:bodyPr rot="0" vert="horz" wrap="square" lIns="91440" tIns="45720" rIns="91440" bIns="45720" anchor="t" anchorCtr="0" upright="1">
                          <a:noAutofit/>
                        </wps:bodyPr>
                      </wps:wsp>
                      <wps:wsp>
                        <wps:cNvPr id="14" name="AutoShape 54"/>
                        <wps:cNvSpPr>
                          <a:spLocks noChangeArrowheads="1"/>
                        </wps:cNvSpPr>
                        <wps:spPr bwMode="auto">
                          <a:xfrm rot="10800000">
                            <a:off x="4698" y="3469"/>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E22669" w:rsidRPr="00AF3EC7" w:rsidRDefault="00D8436F" w:rsidP="00E22669">
                              <w:pPr>
                                <w:jc w:val="center"/>
                                <w:rPr>
                                  <w:b/>
                                  <w:color w:val="FFFFFF"/>
                                  <w:lang w:val="en-US"/>
                                </w:rPr>
                              </w:pPr>
                              <w:r>
                                <w:rPr>
                                  <w:b/>
                                  <w:color w:val="FFFFFF"/>
                                  <w:lang w:val="en-US"/>
                                </w:rPr>
                                <w:t>LTE</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wps:txbx>
                        <wps:bodyPr rot="0" vert="horz" wrap="square" lIns="91440" tIns="45720" rIns="91440" bIns="45720" anchor="t" anchorCtr="0" upright="1">
                          <a:noAutofit/>
                        </wps:bodyPr>
                      </wps:wsp>
                      <wps:wsp>
                        <wps:cNvPr id="15" name="AutoShape 63"/>
                        <wps:cNvSpPr>
                          <a:spLocks noChangeArrowheads="1"/>
                        </wps:cNvSpPr>
                        <wps:spPr bwMode="auto">
                          <a:xfrm rot="10800000">
                            <a:off x="4700" y="2855"/>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E22669" w:rsidRDefault="00D8436F"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Cell#1 </w:t>
                              </w:r>
                              <w:r w:rsidR="00970D90">
                                <w:rPr>
                                  <w:b/>
                                  <w:color w:val="FFFFFF"/>
                                  <w:lang w:val="en-US"/>
                                </w:rPr>
                                <w:t>(</w:t>
                              </w:r>
                              <w:r w:rsidR="00E22669"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26" style="position:absolute;left:0;text-align:left;margin-left:113.55pt;margin-top:2.05pt;width:247.65pt;height:106.2pt;z-index:251658240" coordorigin="3707,2404" coordsize="4385,2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">
                <v:shapetype id="_x0000_t202" coordsize="21600,21600" o:spt="202" path="m,l,21600r21600,l21600,xe">
                  <v:stroke joinstyle="miter"/>
                  <v:path gradientshapeok="t" o:connecttype="rect"/>
                </v:shapetype>
                <v:shape id="Text Box 2" o:spid="_x0000_s1027" type="#_x0000_t202" style="position:absolute;left:5354;top:2404;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22669" w:rsidRDefault="00AF709E" w:rsidP="00E22669">
                        <w:r>
                          <w:t>X1</w:t>
                        </w:r>
                        <w:r w:rsidR="00E22669">
                          <w:t xml:space="preserve"> MHz</w:t>
                        </w:r>
                      </w:p>
                    </w:txbxContent>
                  </v:textbox>
                </v:shape>
                <v:shapetype id="_x0000_t32" coordsize="21600,21600" o:spt="32" o:oned="t" path="m,l21600,21600e" filled="f">
                  <v:path arrowok="t" fillok="f" o:connecttype="none"/>
                  <o:lock v:ext="edit" shapetype="t"/>
                </v:shapetype>
                <v:shape id="AutoShape 64" o:spid="_x0000_s1028" type="#_x0000_t32" style="position:absolute;left:4306;top:4086;width:344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GI88EAAADbAAAADwAAAGRycy9kb3ducmV2LnhtbERPTWuDQBC9B/oflgnkFldzKMW6CUlI&#10;wR5jPeQ4dacqdWfF3ajJr88GCr3N431OtptNJ0YaXGtZQRLFIIgrq1uuFZRfH+s3EM4ja+wsk4Ib&#10;OdhtXxYZptpOfKax8LUIIexSVNB436dSuqohgy6yPXHgfuxg0Ac41FIPOIVw08lNHL9Kgy2HhgZ7&#10;OjZU/RZXo+BYXsfyMBb96Xy4JHX3ecq/76VSq+W8fwfhafb/4j93rsP8BJ6/h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4YjzwQAAANsAAAAPAAAAAAAAAAAAAAAA&#10;AKECAABkcnMvZG93bnJldi54bWxQSwUGAAAAAAQABAD5AAAAjwMAAAAA&#10;" strokeweight="1.5pt">
                  <v:stroke endarrow="block"/>
                </v:shape>
                <v:shape id="AutoShape 66" o:spid="_x0000_s1029" type="#_x0000_t32" style="position:absolute;left:4927;top:2748;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LzAsAAAADbAAAADwAAAGRycy9kb3ducmV2LnhtbERPTWvCQBC9C/6HZYTedGMKoaSuUgKC&#10;pfVgtPchOyax2dmwu03Sf98VhN7m8T5ns5tMJwZyvrWsYL1KQBBXVrdcK7ic98sXED4ga+wsk4Jf&#10;8rDbzmcbzLUd+URDGWoRQ9jnqKAJoc+l9FVDBv3K9sSRu1pnMEToaqkdjjHcdDJNkkwabDk2NNhT&#10;0VD1Xf4YBcXz8IlfZVEM6zGj40fA6faOSj0tprdXEIGm8C9+uA86zk/h/ks8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PC8wLAAAAA2wAAAA8AAAAAAAAAAAAAAAAA&#10;oQIAAGRycy9kb3ducmV2LnhtbFBLBQYAAAAABAAEAPkAAACOAwAAAAA=&#10;">
                  <v:stroke startarrow="open" endarrow="open"/>
                </v:shape>
                <v:shape id="Text Box 2" o:spid="_x0000_s1030" type="#_x0000_t202" style="position:absolute;left:3707;top:4184;width:438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22669" w:rsidRPr="00932A94" w:rsidRDefault="006C294F" w:rsidP="00E22669">
                        <w:pPr>
                          <w:rPr>
                            <w:lang w:val="en-US"/>
                          </w:rPr>
                        </w:pPr>
                        <w:r w:rsidRPr="00932A94">
                          <w:rPr>
                            <w:lang w:val="en-US"/>
                          </w:rPr>
                          <w:t xml:space="preserve">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r w:rsidR="007B031A">
                          <w:rPr>
                            <w:lang w:val="en-US"/>
                          </w:rPr>
                          <w:t xml:space="preserve"> (DL or UL)</w:t>
                        </w:r>
                      </w:p>
                    </w:txbxContent>
                  </v:textbox>
                </v:shape>
                <v:shape id="AutoShape 54" o:spid="_x0000_s1031" style="position:absolute;left:4698;top:3469;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fm8AA&#10;AADbAAAADwAAAGRycy9kb3ducmV2LnhtbERP3WrCMBS+F/YO4Qx2p6kyRLpGEYcgrF6oe4Cz5rQp&#10;a05KkrXd2y8Dwbvz8f2eYjfZTgzkQ+tYwXKRgSCunG65UfB5O843IEJE1tg5JgW/FGC3fZoVmGs3&#10;8oWGa2xECuGQowITY59LGSpDFsPC9cSJq523GBP0jdQexxRuO7nKsrW02HJqMNjTwVD1ff2xCmx/&#10;wJVpPowsj+/nmnxpTl+lUi/P0/4NRKQpPsR390mn+a/w/0s6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rfm8AAAADbAAAADwAAAAAAAAAAAAAAAACYAgAAZHJzL2Rvd25y&#10;ZXYueG1sUEsFBgAAAAAEAAQA9QAAAIUDAAAAAA==&#10;" adj="-11796480,,5400" path="m,l1614,21600r18372,l21600,,,xe" fillcolor="#00b050" strokecolor="#00b050">
                  <v:stroke joinstyle="miter"/>
                  <v:formulas/>
                  <v:path o:connecttype="custom" o:connectlocs="2286,264;1188,527;89,264;1188,0" o:connectangles="0,0,0,0" textboxrect="2610,2623,18990,18977"/>
                  <v:textbox>
                    <w:txbxContent>
                      <w:p w:rsidR="00E22669" w:rsidRPr="00AF3EC7" w:rsidRDefault="00D8436F" w:rsidP="00E22669">
                        <w:pPr>
                          <w:jc w:val="center"/>
                          <w:rPr>
                            <w:b/>
                            <w:color w:val="FFFFFF"/>
                            <w:lang w:val="en-US"/>
                          </w:rPr>
                        </w:pPr>
                        <w:r>
                          <w:rPr>
                            <w:b/>
                            <w:color w:val="FFFFFF"/>
                            <w:lang w:val="en-US"/>
                          </w:rPr>
                          <w:t>LTE</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v:textbox>
                </v:shape>
                <v:shape id="AutoShape 63" o:spid="_x0000_s1032" style="position:absolute;left:4700;top:2855;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Xo8EA&#10;AADbAAAADwAAAGRycy9kb3ducmV2LnhtbERPS4vCMBC+C/sfwix403QVRapRlhXBixQfl73NNmNb&#10;tpmUJNbqrzeC4G0+vucsVp2pRUvOV5YVfA0TEMS51RUXCk7HzWAGwgdkjbVlUnAjD6vlR2+BqbZX&#10;3lN7CIWIIexTVFCG0KRS+rwkg35oG+LIna0zGCJ0hdQOrzHc1HKUJFNpsOLYUGJDPyXl/4eLUWDl&#10;ZTe+Y3Xs/tbZ6XccsqnLWqX6n933HESgLrzFL/dWx/kTeP4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GF6PBAAAA2wAAAA8AAAAAAAAAAAAAAAAAmAIAAGRycy9kb3du&#10;cmV2LnhtbFBLBQYAAAAABAAEAPUAAACGAwAAAAA=&#10;" adj="-11796480,,5400" path="m,l1614,21600r18372,l21600,,,xe" fillcolor="#ffc000" strokecolor="#ffc000">
                  <v:stroke joinstyle="miter"/>
                  <v:formulas/>
                  <v:path o:connecttype="custom" o:connectlocs="2286,264;1188,527;89,264;1188,0" o:connectangles="0,0,0,0" textboxrect="2610,2623,18990,18977"/>
                  <v:textbox>
                    <w:txbxContent>
                      <w:p w:rsidR="00E22669" w:rsidRDefault="00D8436F"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Cell#1 </w:t>
                        </w:r>
                        <w:r w:rsidR="00970D90">
                          <w:rPr>
                            <w:b/>
                            <w:color w:val="FFFFFF"/>
                            <w:lang w:val="en-US"/>
                          </w:rPr>
                          <w:t>(</w:t>
                        </w:r>
                        <w:r w:rsidR="00E22669"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v:textbox>
                </v:shape>
              </v:group>
            </w:pict>
          </mc:Fallback>
        </mc:AlternateContent>
      </w: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7D9C" w:rsidRDefault="00E27D9C" w:rsidP="00057801">
      <w:pPr>
        <w:spacing w:after="0"/>
        <w:ind w:left="720"/>
      </w:pPr>
    </w:p>
    <w:p w:rsidR="00E27D9C" w:rsidRDefault="00E27D9C" w:rsidP="00057801">
      <w:pPr>
        <w:spacing w:after="0"/>
        <w:ind w:left="720"/>
      </w:pPr>
    </w:p>
    <w:p w:rsidR="00D7777E" w:rsidRPr="00D7777E" w:rsidRDefault="00D7777E" w:rsidP="006C294F">
      <w:pPr>
        <w:spacing w:after="0"/>
        <w:jc w:val="center"/>
        <w:rPr>
          <w:b/>
          <w:sz w:val="6"/>
          <w:szCs w:val="6"/>
        </w:rPr>
      </w:pPr>
    </w:p>
    <w:p w:rsidR="006C294F" w:rsidRPr="006E55FC" w:rsidRDefault="006C294F" w:rsidP="006C294F">
      <w:pPr>
        <w:spacing w:after="0"/>
        <w:jc w:val="center"/>
        <w:rPr>
          <w:b/>
        </w:rPr>
      </w:pPr>
      <w:r w:rsidRPr="006E55FC">
        <w:rPr>
          <w:b/>
        </w:rPr>
        <w:t xml:space="preserve">Figure </w:t>
      </w:r>
      <w:r w:rsidR="00216DDD">
        <w:rPr>
          <w:b/>
        </w:rPr>
        <w:t>1</w:t>
      </w:r>
    </w:p>
    <w:p w:rsidR="00E22669" w:rsidRDefault="00E22669" w:rsidP="00057801">
      <w:pPr>
        <w:spacing w:after="0"/>
        <w:ind w:left="720"/>
      </w:pPr>
    </w:p>
    <w:p w:rsidR="00820B85" w:rsidRDefault="00D7777E" w:rsidP="00D7777E">
      <w:pPr>
        <w:spacing w:after="0"/>
        <w:jc w:val="both"/>
      </w:pPr>
      <w:r w:rsidRPr="00D7777E">
        <w:t xml:space="preserve">In the subsequent section, </w:t>
      </w:r>
      <w:r w:rsidRPr="00D7777E">
        <w:rPr>
          <w:rFonts w:hint="eastAsia"/>
        </w:rPr>
        <w:t>p</w:t>
      </w:r>
      <w:r w:rsidRPr="00D7777E">
        <w:t xml:space="preserve">ossible </w:t>
      </w:r>
      <w:r w:rsidRPr="00D7777E">
        <w:rPr>
          <w:rFonts w:hint="eastAsia"/>
        </w:rPr>
        <w:t>m</w:t>
      </w:r>
      <w:r w:rsidRPr="00D7777E">
        <w:t xml:space="preserve">echanisms and necessary specification supports </w:t>
      </w:r>
      <w:r w:rsidR="00216DDD">
        <w:t xml:space="preserve">from RAN2 point of view </w:t>
      </w:r>
      <w:r w:rsidRPr="00D7777E">
        <w:t xml:space="preserve">for LTE-NR coexistence will be further discussed considering same spectrum </w:t>
      </w:r>
      <w:r w:rsidR="00D1334B">
        <w:t>usage</w:t>
      </w:r>
      <w:r w:rsidRPr="00D7777E">
        <w:t xml:space="preserve"> between LTE and NR.</w:t>
      </w:r>
    </w:p>
    <w:p w:rsidR="00BF794D" w:rsidRPr="00216DDD" w:rsidRDefault="00D7777E" w:rsidP="00D7777E">
      <w:pPr>
        <w:pStyle w:val="Heading1"/>
        <w:rPr>
          <w:sz w:val="32"/>
          <w:szCs w:val="32"/>
        </w:rPr>
      </w:pPr>
      <w:r w:rsidRPr="00216DDD">
        <w:rPr>
          <w:sz w:val="32"/>
          <w:szCs w:val="32"/>
        </w:rPr>
        <w:t>Mechanisms for</w:t>
      </w:r>
      <w:r w:rsidR="004E42C9" w:rsidRPr="00216DDD">
        <w:rPr>
          <w:sz w:val="32"/>
          <w:szCs w:val="32"/>
        </w:rPr>
        <w:t xml:space="preserve"> LTE</w:t>
      </w:r>
      <w:r w:rsidR="00216DDD" w:rsidRPr="00216DDD">
        <w:rPr>
          <w:sz w:val="32"/>
          <w:szCs w:val="32"/>
        </w:rPr>
        <w:t>+</w:t>
      </w:r>
      <w:r w:rsidR="0049521E" w:rsidRPr="00216DDD">
        <w:rPr>
          <w:sz w:val="32"/>
          <w:szCs w:val="32"/>
        </w:rPr>
        <w:t>NR</w:t>
      </w:r>
      <w:r w:rsidR="004E42C9" w:rsidRPr="00216DDD">
        <w:rPr>
          <w:sz w:val="32"/>
          <w:szCs w:val="32"/>
        </w:rPr>
        <w:t xml:space="preserve"> </w:t>
      </w:r>
      <w:r w:rsidRPr="00216DDD">
        <w:rPr>
          <w:sz w:val="32"/>
          <w:szCs w:val="32"/>
        </w:rPr>
        <w:t>co-existence</w:t>
      </w:r>
      <w:r w:rsidR="00216DDD" w:rsidRPr="00216DDD">
        <w:rPr>
          <w:sz w:val="32"/>
          <w:szCs w:val="32"/>
        </w:rPr>
        <w:t xml:space="preserve"> on same carrier</w:t>
      </w:r>
    </w:p>
    <w:p w:rsidR="00216DDD" w:rsidRPr="00216DDD" w:rsidRDefault="00216DDD" w:rsidP="009B746C">
      <w:pPr>
        <w:jc w:val="both"/>
        <w:rPr>
          <w:sz w:val="24"/>
        </w:rPr>
      </w:pPr>
      <w:r w:rsidRPr="00216DDD">
        <w:rPr>
          <w:sz w:val="24"/>
        </w:rPr>
        <w:t>3.1</w:t>
      </w:r>
      <w:r w:rsidRPr="00216DDD">
        <w:rPr>
          <w:sz w:val="24"/>
        </w:rPr>
        <w:tab/>
        <w:t>LTE+NR co-existence in DL</w:t>
      </w:r>
    </w:p>
    <w:p w:rsidR="00216DDD" w:rsidRDefault="00216DDD" w:rsidP="009B746C">
      <w:pPr>
        <w:jc w:val="both"/>
      </w:pPr>
      <w:r>
        <w:t>For LTE and NR operations on same carrier in DL (co-located</w:t>
      </w:r>
      <w:r w:rsidR="00F461C1">
        <w:t>/</w:t>
      </w:r>
      <w:r>
        <w:t>non-collocated</w:t>
      </w:r>
      <w:r w:rsidR="00F461C1">
        <w:t xml:space="preserve"> and/or FDD/TDD</w:t>
      </w:r>
      <w:r>
        <w:t xml:space="preserve">) it should be possible to provide </w:t>
      </w:r>
      <w:r w:rsidRPr="00065CB1">
        <w:t xml:space="preserve">resource adaptation between LTE and </w:t>
      </w:r>
      <w:r>
        <w:t>NR</w:t>
      </w:r>
      <w:r w:rsidRPr="00065CB1">
        <w:t xml:space="preserve"> </w:t>
      </w:r>
      <w:r>
        <w:t>in TDM</w:t>
      </w:r>
      <w:r w:rsidR="00F461C1">
        <w:t>/FDM</w:t>
      </w:r>
      <w:r>
        <w:t xml:space="preserve"> manner depending on the </w:t>
      </w:r>
      <w:r>
        <w:lastRenderedPageBreak/>
        <w:t>respective traffic demand. RAN1 identified f</w:t>
      </w:r>
      <w:r w:rsidRPr="005F5F28">
        <w:t>ollowing existing LTE frameworks</w:t>
      </w:r>
      <w:r>
        <w:t xml:space="preserve"> are useful to address the co-existence of LTE and NR on the same carrier in DL (agreements from RAN1#86Bis):</w:t>
      </w:r>
    </w:p>
    <w:p w:rsidR="00216DDD" w:rsidRPr="00216DDD" w:rsidRDefault="00216DDD" w:rsidP="00216DDD">
      <w:pPr>
        <w:widowControl w:val="0"/>
        <w:numPr>
          <w:ilvl w:val="0"/>
          <w:numId w:val="8"/>
        </w:numPr>
        <w:overflowPunct/>
        <w:adjustRightInd/>
        <w:spacing w:before="60" w:after="60" w:line="288" w:lineRule="auto"/>
        <w:jc w:val="both"/>
        <w:textAlignment w:val="auto"/>
        <w:rPr>
          <w:rFonts w:eastAsia="Malgun Gothic"/>
        </w:rPr>
      </w:pPr>
      <w:r w:rsidRPr="00216DDD">
        <w:rPr>
          <w:rFonts w:eastAsia="Malgun Gothic"/>
        </w:rPr>
        <w:t xml:space="preserve">MBSFN configuration </w:t>
      </w:r>
      <w:r w:rsidR="00F461C1">
        <w:rPr>
          <w:rFonts w:eastAsia="Malgun Gothic"/>
        </w:rPr>
        <w:t>(TDM mechanism)</w:t>
      </w:r>
    </w:p>
    <w:p w:rsidR="00216DDD" w:rsidRDefault="00216DDD" w:rsidP="00216DDD">
      <w:pPr>
        <w:widowControl w:val="0"/>
        <w:numPr>
          <w:ilvl w:val="0"/>
          <w:numId w:val="8"/>
        </w:numPr>
        <w:overflowPunct/>
        <w:adjustRightInd/>
        <w:spacing w:before="60" w:after="60" w:line="288" w:lineRule="auto"/>
        <w:jc w:val="both"/>
        <w:textAlignment w:val="auto"/>
        <w:rPr>
          <w:rFonts w:eastAsia="Malgun Gothic"/>
        </w:rPr>
      </w:pPr>
      <w:proofErr w:type="spellStart"/>
      <w:r w:rsidRPr="00D57FDA">
        <w:rPr>
          <w:rFonts w:eastAsia="Malgun Gothic"/>
        </w:rPr>
        <w:t>SCell</w:t>
      </w:r>
      <w:proofErr w:type="spellEnd"/>
      <w:r w:rsidRPr="00D57FDA">
        <w:rPr>
          <w:rFonts w:eastAsia="Malgun Gothic"/>
        </w:rPr>
        <w:t xml:space="preserve"> activation/deactivation </w:t>
      </w:r>
      <w:r>
        <w:rPr>
          <w:rFonts w:eastAsia="Malgun Gothic"/>
        </w:rPr>
        <w:t>for CA scenarios</w:t>
      </w:r>
      <w:r w:rsidR="00F461C1">
        <w:rPr>
          <w:rFonts w:eastAsia="Malgun Gothic"/>
        </w:rPr>
        <w:t xml:space="preserve"> (FDM mechanism)</w:t>
      </w:r>
    </w:p>
    <w:p w:rsidR="00A5021F" w:rsidRDefault="00A5021F" w:rsidP="00A5021F">
      <w:pPr>
        <w:widowControl w:val="0"/>
        <w:numPr>
          <w:ilvl w:val="0"/>
          <w:numId w:val="8"/>
        </w:numPr>
        <w:overflowPunct/>
        <w:adjustRightInd/>
        <w:spacing w:before="60" w:after="60" w:line="288" w:lineRule="auto"/>
        <w:jc w:val="both"/>
        <w:textAlignment w:val="auto"/>
        <w:rPr>
          <w:rFonts w:eastAsia="Malgun Gothic"/>
        </w:rPr>
      </w:pPr>
      <w:r>
        <w:rPr>
          <w:rFonts w:eastAsia="Malgun Gothic"/>
        </w:rPr>
        <w:t xml:space="preserve">TDD UL </w:t>
      </w:r>
      <w:proofErr w:type="spellStart"/>
      <w:r>
        <w:rPr>
          <w:rFonts w:eastAsia="Malgun Gothic"/>
        </w:rPr>
        <w:t>subframe</w:t>
      </w:r>
      <w:proofErr w:type="spellEnd"/>
      <w:r>
        <w:rPr>
          <w:rFonts w:eastAsia="Malgun Gothic"/>
        </w:rPr>
        <w:t xml:space="preserve"> </w:t>
      </w:r>
      <w:r w:rsidRPr="00D57FDA">
        <w:rPr>
          <w:rFonts w:eastAsia="Malgun Gothic"/>
        </w:rPr>
        <w:t>(</w:t>
      </w:r>
      <w:r>
        <w:rPr>
          <w:rFonts w:eastAsia="Malgun Gothic"/>
        </w:rPr>
        <w:t>TDD operations</w:t>
      </w:r>
      <w:r w:rsidRPr="00D57FDA">
        <w:rPr>
          <w:rFonts w:eastAsia="Malgun Gothic"/>
        </w:rPr>
        <w:t>)</w:t>
      </w:r>
    </w:p>
    <w:p w:rsidR="00C86150" w:rsidRPr="00C86150" w:rsidRDefault="00C86150" w:rsidP="00A5021F">
      <w:pPr>
        <w:widowControl w:val="0"/>
        <w:numPr>
          <w:ilvl w:val="0"/>
          <w:numId w:val="8"/>
        </w:numPr>
        <w:overflowPunct/>
        <w:adjustRightInd/>
        <w:spacing w:before="60" w:after="60" w:line="288" w:lineRule="auto"/>
        <w:jc w:val="both"/>
        <w:textAlignment w:val="auto"/>
        <w:rPr>
          <w:rFonts w:eastAsia="Malgun Gothic"/>
        </w:rPr>
      </w:pPr>
      <w:r w:rsidRPr="00C86150">
        <w:rPr>
          <w:rFonts w:eastAsia="Malgun Gothic"/>
        </w:rPr>
        <w:t xml:space="preserve">TDD UL </w:t>
      </w:r>
      <w:proofErr w:type="spellStart"/>
      <w:r w:rsidRPr="00C86150">
        <w:rPr>
          <w:rFonts w:eastAsia="Malgun Gothic"/>
        </w:rPr>
        <w:t>subframe</w:t>
      </w:r>
      <w:proofErr w:type="spellEnd"/>
      <w:r w:rsidRPr="00C86150">
        <w:rPr>
          <w:rFonts w:eastAsia="Malgun Gothic"/>
        </w:rPr>
        <w:t xml:space="preserve"> configured by </w:t>
      </w:r>
      <w:proofErr w:type="spellStart"/>
      <w:r w:rsidRPr="00C86150">
        <w:rPr>
          <w:rFonts w:eastAsia="Malgun Gothic"/>
        </w:rPr>
        <w:t>eIMTA</w:t>
      </w:r>
      <w:proofErr w:type="spellEnd"/>
      <w:r w:rsidRPr="00C86150">
        <w:rPr>
          <w:rFonts w:eastAsia="Malgun Gothic"/>
        </w:rPr>
        <w:t xml:space="preserve"> (for LTE Rel-12 and beyond)</w:t>
      </w:r>
    </w:p>
    <w:p w:rsidR="00F72FAB" w:rsidRDefault="00F72FAB" w:rsidP="00F72FAB">
      <w:pPr>
        <w:jc w:val="both"/>
        <w:rPr>
          <w:rFonts w:eastAsia="Malgun Gothic"/>
          <w:b/>
          <w:u w:val="single"/>
        </w:rPr>
      </w:pPr>
    </w:p>
    <w:p w:rsidR="00A5021F" w:rsidRPr="00F72FAB" w:rsidRDefault="00F72FAB" w:rsidP="00F72FAB">
      <w:pPr>
        <w:jc w:val="both"/>
        <w:rPr>
          <w:rFonts w:eastAsia="Malgun Gothic"/>
          <w:b/>
          <w:u w:val="single"/>
        </w:rPr>
      </w:pPr>
      <w:r w:rsidRPr="00F72FAB">
        <w:rPr>
          <w:rFonts w:eastAsia="Malgun Gothic"/>
          <w:b/>
          <w:u w:val="single"/>
        </w:rPr>
        <w:t xml:space="preserve">Co-existence in normal LTE DL </w:t>
      </w:r>
      <w:proofErr w:type="spellStart"/>
      <w:r w:rsidRPr="00F72FAB">
        <w:rPr>
          <w:rFonts w:eastAsia="Malgun Gothic"/>
          <w:b/>
          <w:u w:val="single"/>
        </w:rPr>
        <w:t>subframes</w:t>
      </w:r>
      <w:proofErr w:type="spellEnd"/>
      <w:r w:rsidRPr="00F72FAB">
        <w:rPr>
          <w:rFonts w:eastAsia="Malgun Gothic"/>
          <w:b/>
          <w:u w:val="single"/>
        </w:rPr>
        <w:t>:</w:t>
      </w:r>
    </w:p>
    <w:p w:rsidR="00D1334B" w:rsidRDefault="00D1334B" w:rsidP="00D1334B">
      <w:pPr>
        <w:widowControl w:val="0"/>
        <w:overflowPunct/>
        <w:adjustRightInd/>
        <w:spacing w:before="60" w:after="60" w:line="288" w:lineRule="auto"/>
        <w:jc w:val="both"/>
        <w:textAlignment w:val="auto"/>
        <w:rPr>
          <w:rFonts w:eastAsia="Malgun Gothic"/>
        </w:rPr>
      </w:pPr>
      <w:r>
        <w:rPr>
          <w:rFonts w:eastAsia="Malgun Gothic"/>
        </w:rPr>
        <w:t xml:space="preserve">However, at RAN1#88Bis it was agreed to support LTE and NR co-existence even with normal LTE DL </w:t>
      </w:r>
      <w:proofErr w:type="spellStart"/>
      <w:r>
        <w:rPr>
          <w:rFonts w:eastAsia="Malgun Gothic"/>
        </w:rPr>
        <w:t>subframes</w:t>
      </w:r>
      <w:proofErr w:type="spellEnd"/>
      <w:r>
        <w:rPr>
          <w:rFonts w:eastAsia="Malgun Gothic"/>
        </w:rPr>
        <w:t xml:space="preserve"> i.e. non-MBSFN </w:t>
      </w:r>
      <w:proofErr w:type="spellStart"/>
      <w:r>
        <w:rPr>
          <w:rFonts w:eastAsia="Malgun Gothic"/>
        </w:rPr>
        <w:t>subframes</w:t>
      </w:r>
      <w:proofErr w:type="spellEnd"/>
      <w:r>
        <w:rPr>
          <w:rFonts w:eastAsia="Malgun Gothic"/>
        </w:rPr>
        <w:t xml:space="preserve"> [</w:t>
      </w:r>
      <w:r w:rsidR="00072541">
        <w:rPr>
          <w:rFonts w:eastAsia="Malgun Gothic"/>
        </w:rPr>
        <w:t>2</w:t>
      </w:r>
      <w:r>
        <w:rPr>
          <w:rFonts w:eastAsia="Malgun Gothic"/>
        </w:rPr>
        <w:t>].</w:t>
      </w:r>
    </w:p>
    <w:tbl>
      <w:tblPr>
        <w:tblStyle w:val="TableGrid"/>
        <w:tblW w:w="0" w:type="auto"/>
        <w:tblLook w:val="04A0" w:firstRow="1" w:lastRow="0" w:firstColumn="1" w:lastColumn="0" w:noHBand="0" w:noVBand="1"/>
      </w:tblPr>
      <w:tblGrid>
        <w:gridCol w:w="9243"/>
      </w:tblGrid>
      <w:tr w:rsidR="00D1334B" w:rsidTr="00D1334B">
        <w:tc>
          <w:tcPr>
            <w:tcW w:w="9243" w:type="dxa"/>
          </w:tcPr>
          <w:p w:rsidR="00D1334B" w:rsidRPr="007B031A" w:rsidRDefault="00D1334B" w:rsidP="00D1334B">
            <w:pPr>
              <w:rPr>
                <w:rFonts w:eastAsia="MS Mincho"/>
                <w:highlight w:val="green"/>
                <w:lang w:eastAsia="ja-JP"/>
              </w:rPr>
            </w:pPr>
            <w:r w:rsidRPr="007B031A">
              <w:rPr>
                <w:rFonts w:eastAsia="MS Mincho"/>
                <w:highlight w:val="green"/>
                <w:lang w:eastAsia="ja-JP"/>
              </w:rPr>
              <w:t>Agreements from RAN1#88Bis:</w:t>
            </w:r>
          </w:p>
          <w:p w:rsidR="00D1334B" w:rsidRPr="003479B5" w:rsidRDefault="00D1334B" w:rsidP="00D1334B">
            <w:pPr>
              <w:numPr>
                <w:ilvl w:val="0"/>
                <w:numId w:val="15"/>
              </w:numPr>
              <w:overflowPunct/>
              <w:autoSpaceDE/>
              <w:autoSpaceDN/>
              <w:adjustRightInd/>
              <w:spacing w:after="0"/>
              <w:textAlignment w:val="auto"/>
              <w:rPr>
                <w:rFonts w:eastAsia="MS Mincho"/>
                <w:iCs/>
                <w:lang w:eastAsia="ja-JP"/>
              </w:rPr>
            </w:pPr>
            <w:r w:rsidRPr="003479B5">
              <w:rPr>
                <w:rFonts w:eastAsia="MS Mincho"/>
                <w:iCs/>
                <w:lang w:eastAsia="ja-JP"/>
              </w:rPr>
              <w:t xml:space="preserve">NR supports DL transmissions scheduled in LTE DL non-MBSFN </w:t>
            </w:r>
            <w:proofErr w:type="spellStart"/>
            <w:r w:rsidRPr="003479B5">
              <w:rPr>
                <w:rFonts w:eastAsia="MS Mincho"/>
                <w:iCs/>
                <w:lang w:eastAsia="ja-JP"/>
              </w:rPr>
              <w:t>subframes</w:t>
            </w:r>
            <w:proofErr w:type="spellEnd"/>
          </w:p>
          <w:p w:rsidR="00D1334B" w:rsidRPr="003479B5" w:rsidRDefault="00D1334B" w:rsidP="00D1334B">
            <w:pPr>
              <w:numPr>
                <w:ilvl w:val="1"/>
                <w:numId w:val="15"/>
              </w:numPr>
              <w:overflowPunct/>
              <w:autoSpaceDE/>
              <w:autoSpaceDN/>
              <w:adjustRightInd/>
              <w:spacing w:after="0"/>
              <w:textAlignment w:val="auto"/>
              <w:rPr>
                <w:rFonts w:eastAsia="MS Mincho"/>
                <w:iCs/>
                <w:lang w:eastAsia="ja-JP"/>
              </w:rPr>
            </w:pPr>
            <w:r w:rsidRPr="003479B5">
              <w:rPr>
                <w:rFonts w:eastAsia="MS Mincho"/>
                <w:iCs/>
                <w:lang w:eastAsia="ja-JP"/>
              </w:rPr>
              <w:t xml:space="preserve">Mini-slots can be scheduled on OFDM symbols not carrying CRS </w:t>
            </w:r>
          </w:p>
          <w:p w:rsidR="00D1334B" w:rsidRDefault="00D1334B" w:rsidP="00D1334B">
            <w:pPr>
              <w:numPr>
                <w:ilvl w:val="1"/>
                <w:numId w:val="15"/>
              </w:numPr>
              <w:overflowPunct/>
              <w:autoSpaceDE/>
              <w:autoSpaceDN/>
              <w:adjustRightInd/>
              <w:spacing w:after="0"/>
              <w:textAlignment w:val="auto"/>
              <w:rPr>
                <w:rFonts w:eastAsia="Malgun Gothic"/>
              </w:rPr>
            </w:pPr>
            <w:r w:rsidRPr="003479B5">
              <w:rPr>
                <w:rFonts w:eastAsia="MS Mincho"/>
                <w:iCs/>
                <w:lang w:eastAsia="ja-JP"/>
              </w:rPr>
              <w:t>It is expected that NR scheduling and at least semi-statically reserved resources for forward compatibility can be used to avoid NR transmissions colliding with other LTE signals/channels (e.g., LTE PBCH/PSS/SSS, SIB1, LTE PDCCH region, etc.)</w:t>
            </w:r>
            <w:r w:rsidRPr="007B031A">
              <w:rPr>
                <w:rFonts w:eastAsia="MS Mincho"/>
                <w:iCs/>
                <w:lang w:eastAsia="ja-JP"/>
              </w:rPr>
              <w:t xml:space="preserve"> </w:t>
            </w:r>
          </w:p>
        </w:tc>
      </w:tr>
    </w:tbl>
    <w:p w:rsidR="00D1334B" w:rsidRDefault="00D1334B" w:rsidP="00D1334B">
      <w:pPr>
        <w:spacing w:before="60" w:after="60" w:line="288" w:lineRule="auto"/>
        <w:jc w:val="both"/>
        <w:rPr>
          <w:rFonts w:eastAsia="Malgun Gothic"/>
        </w:rPr>
      </w:pPr>
      <w:r>
        <w:t xml:space="preserve">According to above agreement, NR DL transmission is allowed on OFDM symbols not carrying LTE channels/signals in both non-MBSFN </w:t>
      </w:r>
      <w:proofErr w:type="spellStart"/>
      <w:r>
        <w:t>subframe</w:t>
      </w:r>
      <w:proofErr w:type="spellEnd"/>
      <w:r>
        <w:t xml:space="preserve"> and MBSFN </w:t>
      </w:r>
      <w:proofErr w:type="spellStart"/>
      <w:r>
        <w:t>subframe</w:t>
      </w:r>
      <w:proofErr w:type="spellEnd"/>
      <w:r>
        <w:t xml:space="preserve">. On the other hand, LTE channels/signals such as PSS/SSS, </w:t>
      </w:r>
      <w:r w:rsidR="00E27EBE">
        <w:t xml:space="preserve">PBCH, CRS, </w:t>
      </w:r>
      <w:r>
        <w:t xml:space="preserve">PDCCH region and paging need to be still protected for LTE UEs. Also, it is beneficial to avoid </w:t>
      </w:r>
      <w:r>
        <w:rPr>
          <w:rFonts w:eastAsia="Malgun Gothic"/>
        </w:rPr>
        <w:t xml:space="preserve">unnecessary NR UE operations </w:t>
      </w:r>
      <w:proofErr w:type="spellStart"/>
      <w:r w:rsidR="003479B5">
        <w:rPr>
          <w:rFonts w:eastAsia="Malgun Gothic"/>
        </w:rPr>
        <w:t>eg</w:t>
      </w:r>
      <w:proofErr w:type="spellEnd"/>
      <w:r w:rsidR="003479B5">
        <w:rPr>
          <w:rFonts w:eastAsia="Malgun Gothic"/>
        </w:rPr>
        <w:t xml:space="preserve">. </w:t>
      </w:r>
      <w:r>
        <w:rPr>
          <w:rFonts w:eastAsia="Malgun Gothic"/>
        </w:rPr>
        <w:t xml:space="preserve">NR PDCCH monitoring on OFDM symbols occupied by LTE channels/signals. In this regard, the OFDM symbols for LTE channels/signals can be configured as reserved resources </w:t>
      </w:r>
      <w:r w:rsidR="003479B5">
        <w:rPr>
          <w:rFonts w:eastAsia="Malgun Gothic"/>
        </w:rPr>
        <w:t xml:space="preserve">or restricted resources </w:t>
      </w:r>
      <w:r>
        <w:rPr>
          <w:rFonts w:eastAsia="Malgun Gothic"/>
        </w:rPr>
        <w:t xml:space="preserve">by </w:t>
      </w:r>
      <w:r w:rsidR="003479B5">
        <w:rPr>
          <w:rFonts w:eastAsia="Malgun Gothic"/>
        </w:rPr>
        <w:t xml:space="preserve">NR </w:t>
      </w:r>
      <w:r>
        <w:rPr>
          <w:rFonts w:eastAsia="Malgun Gothic"/>
        </w:rPr>
        <w:t xml:space="preserve">RRC </w:t>
      </w:r>
      <w:r w:rsidR="003479B5">
        <w:rPr>
          <w:rFonts w:eastAsia="Malgun Gothic"/>
        </w:rPr>
        <w:t>signalling.</w:t>
      </w:r>
      <w:r>
        <w:rPr>
          <w:rFonts w:eastAsia="Malgun Gothic"/>
        </w:rPr>
        <w:t xml:space="preserve"> </w:t>
      </w:r>
      <w:r w:rsidR="003479B5">
        <w:rPr>
          <w:rFonts w:eastAsia="Malgun Gothic"/>
        </w:rPr>
        <w:t xml:space="preserve">Further </w:t>
      </w:r>
      <w:r>
        <w:rPr>
          <w:rFonts w:eastAsia="Malgun Gothic"/>
        </w:rPr>
        <w:t xml:space="preserve">the </w:t>
      </w:r>
      <w:r w:rsidR="003479B5">
        <w:rPr>
          <w:rFonts w:eastAsia="Malgun Gothic"/>
        </w:rPr>
        <w:t xml:space="preserve">NR </w:t>
      </w:r>
      <w:r>
        <w:rPr>
          <w:rFonts w:eastAsia="Malgun Gothic"/>
        </w:rPr>
        <w:t>RRC signa</w:t>
      </w:r>
      <w:r w:rsidR="00E27EBE">
        <w:rPr>
          <w:rFonts w:eastAsia="Malgun Gothic"/>
        </w:rPr>
        <w:t>l</w:t>
      </w:r>
      <w:r>
        <w:rPr>
          <w:rFonts w:eastAsia="Malgun Gothic"/>
        </w:rPr>
        <w:t xml:space="preserve">ling </w:t>
      </w:r>
      <w:r w:rsidR="003479B5">
        <w:rPr>
          <w:rFonts w:eastAsia="Malgun Gothic"/>
        </w:rPr>
        <w:t xml:space="preserve">should be flexible to </w:t>
      </w:r>
      <w:r>
        <w:rPr>
          <w:rFonts w:eastAsia="Malgun Gothic"/>
        </w:rPr>
        <w:t>reserve</w:t>
      </w:r>
      <w:r w:rsidR="003479B5">
        <w:rPr>
          <w:rFonts w:eastAsia="Malgun Gothic"/>
        </w:rPr>
        <w:t>/restrict</w:t>
      </w:r>
      <w:r>
        <w:rPr>
          <w:rFonts w:eastAsia="Malgun Gothic"/>
        </w:rPr>
        <w:t xml:space="preserve"> resources at </w:t>
      </w:r>
      <w:r w:rsidR="003479B5">
        <w:rPr>
          <w:rFonts w:eastAsia="Malgun Gothic"/>
        </w:rPr>
        <w:t xml:space="preserve">the </w:t>
      </w:r>
      <w:r>
        <w:rPr>
          <w:rFonts w:eastAsia="Malgun Gothic"/>
        </w:rPr>
        <w:t>granularity of OFDM symbol level</w:t>
      </w:r>
      <w:r w:rsidR="00817CE8">
        <w:rPr>
          <w:rFonts w:eastAsia="Malgun Gothic"/>
        </w:rPr>
        <w:t xml:space="preserve"> [3]</w:t>
      </w:r>
      <w:r>
        <w:rPr>
          <w:rFonts w:eastAsia="Malgun Gothic"/>
        </w:rPr>
        <w:t>.</w:t>
      </w:r>
    </w:p>
    <w:p w:rsidR="00EA50FF" w:rsidRDefault="00EA50FF" w:rsidP="00D1334B">
      <w:pPr>
        <w:spacing w:before="60" w:after="60" w:line="288" w:lineRule="auto"/>
        <w:jc w:val="both"/>
        <w:rPr>
          <w:rFonts w:eastAsia="Malgun Gothic"/>
          <w:i/>
        </w:rPr>
      </w:pPr>
    </w:p>
    <w:p w:rsidR="003479B5" w:rsidRPr="003479B5" w:rsidRDefault="003479B5" w:rsidP="00D1334B">
      <w:pPr>
        <w:spacing w:before="60" w:after="60" w:line="288" w:lineRule="auto"/>
        <w:jc w:val="both"/>
        <w:rPr>
          <w:rFonts w:eastAsia="Malgun Gothic"/>
          <w:i/>
        </w:rPr>
      </w:pPr>
      <w:r w:rsidRPr="003479B5">
        <w:rPr>
          <w:rFonts w:eastAsia="Malgun Gothic"/>
          <w:i/>
        </w:rPr>
        <w:t xml:space="preserve">Observation#1: Based on RAN1 agreement to support NR DL transmission in normal LTE DL </w:t>
      </w:r>
      <w:proofErr w:type="spellStart"/>
      <w:r w:rsidRPr="003479B5">
        <w:rPr>
          <w:rFonts w:eastAsia="Malgun Gothic"/>
          <w:i/>
        </w:rPr>
        <w:t>subframes</w:t>
      </w:r>
      <w:proofErr w:type="spellEnd"/>
      <w:r w:rsidRPr="003479B5">
        <w:rPr>
          <w:rFonts w:eastAsia="Malgun Gothic"/>
          <w:i/>
        </w:rPr>
        <w:t>, the NR RRC signalling should be flexible to res</w:t>
      </w:r>
      <w:r>
        <w:rPr>
          <w:rFonts w:eastAsia="Malgun Gothic"/>
          <w:i/>
        </w:rPr>
        <w:t>e</w:t>
      </w:r>
      <w:r w:rsidRPr="003479B5">
        <w:rPr>
          <w:rFonts w:eastAsia="Malgun Gothic"/>
          <w:i/>
        </w:rPr>
        <w:t>rve/restrict resources at the granularity of OFDM symbol level to protect the LTE signals/channels like PSS/SSS, PBCH, PDCCH, CRS, paging etc.</w:t>
      </w:r>
    </w:p>
    <w:p w:rsidR="00EA50FF" w:rsidRDefault="00EA50FF" w:rsidP="009B746C">
      <w:pPr>
        <w:jc w:val="both"/>
        <w:rPr>
          <w:rFonts w:eastAsia="Malgun Gothic"/>
          <w:b/>
          <w:u w:val="single"/>
        </w:rPr>
      </w:pPr>
    </w:p>
    <w:p w:rsidR="00A5021F" w:rsidRPr="00A5021F" w:rsidRDefault="00E27EBE" w:rsidP="009B746C">
      <w:pPr>
        <w:jc w:val="both"/>
        <w:rPr>
          <w:b/>
          <w:u w:val="single"/>
        </w:rPr>
      </w:pPr>
      <w:r>
        <w:rPr>
          <w:rFonts w:eastAsia="Malgun Gothic"/>
          <w:b/>
          <w:u w:val="single"/>
        </w:rPr>
        <w:t>NR PDCCH monitoring</w:t>
      </w:r>
      <w:r w:rsidR="00F72FAB">
        <w:rPr>
          <w:rFonts w:eastAsia="Malgun Gothic"/>
          <w:b/>
          <w:u w:val="single"/>
        </w:rPr>
        <w:t>:</w:t>
      </w:r>
    </w:p>
    <w:p w:rsidR="00E27EBE" w:rsidRDefault="00E27EBE" w:rsidP="00E27EBE">
      <w:pPr>
        <w:spacing w:before="60" w:after="60" w:line="288" w:lineRule="auto"/>
        <w:jc w:val="both"/>
        <w:rPr>
          <w:rFonts w:eastAsia="Malgun Gothic"/>
        </w:rPr>
      </w:pPr>
      <w:r>
        <w:rPr>
          <w:rFonts w:eastAsia="Malgun Gothic"/>
        </w:rPr>
        <w:t xml:space="preserve">In terms of NR PDCCH monitoring, NR UEs can be configured to monitor NR PDCCH on OFDM symbols not carrying LTE channels/signals regardless of whether a LTE </w:t>
      </w:r>
      <w:proofErr w:type="spellStart"/>
      <w:r>
        <w:rPr>
          <w:rFonts w:eastAsia="Malgun Gothic"/>
        </w:rPr>
        <w:t>subframe</w:t>
      </w:r>
      <w:proofErr w:type="spellEnd"/>
      <w:r>
        <w:rPr>
          <w:rFonts w:eastAsia="Malgun Gothic"/>
        </w:rPr>
        <w:t xml:space="preserve"> is a non-MBSFN or MBSFN </w:t>
      </w:r>
      <w:proofErr w:type="spellStart"/>
      <w:r>
        <w:rPr>
          <w:rFonts w:eastAsia="Malgun Gothic"/>
        </w:rPr>
        <w:t>subframe</w:t>
      </w:r>
      <w:proofErr w:type="spellEnd"/>
      <w:r>
        <w:rPr>
          <w:rFonts w:eastAsia="Malgun Gothic"/>
        </w:rPr>
        <w:t>, One alternative to address the issue is to configure periodicity and/or offset(s) for NR PDCCH monitoring</w:t>
      </w:r>
      <w:r w:rsidR="00072541">
        <w:rPr>
          <w:rFonts w:eastAsia="Malgun Gothic"/>
        </w:rPr>
        <w:t xml:space="preserve"> [3]</w:t>
      </w:r>
      <w:r>
        <w:rPr>
          <w:rFonts w:eastAsia="Malgun Gothic"/>
        </w:rPr>
        <w:t xml:space="preserve">. For example, considering positions of OFDM symbols available for NR transmission are different between MBSFN and non-MBSFN </w:t>
      </w:r>
      <w:proofErr w:type="spellStart"/>
      <w:r>
        <w:rPr>
          <w:rFonts w:eastAsia="Malgun Gothic"/>
        </w:rPr>
        <w:t>subframes</w:t>
      </w:r>
      <w:proofErr w:type="spellEnd"/>
      <w:r>
        <w:rPr>
          <w:rFonts w:eastAsia="Malgun Gothic"/>
        </w:rPr>
        <w:t xml:space="preserve">, different periodicities and offsets for </w:t>
      </w:r>
      <w:proofErr w:type="spellStart"/>
      <w:r>
        <w:rPr>
          <w:rFonts w:eastAsia="Malgun Gothic"/>
        </w:rPr>
        <w:t>subframe</w:t>
      </w:r>
      <w:proofErr w:type="spellEnd"/>
      <w:r>
        <w:rPr>
          <w:rFonts w:eastAsia="Malgun Gothic"/>
        </w:rPr>
        <w:t xml:space="preserve"> sets can be configured to NR UEs.</w:t>
      </w:r>
      <w:r w:rsidR="00F72FAB">
        <w:rPr>
          <w:rFonts w:eastAsia="Malgun Gothic"/>
        </w:rPr>
        <w:t xml:space="preserve"> Further, a normal TDD UL </w:t>
      </w:r>
      <w:proofErr w:type="spellStart"/>
      <w:r w:rsidR="00F72FAB">
        <w:rPr>
          <w:rFonts w:eastAsia="Malgun Gothic"/>
        </w:rPr>
        <w:t>subframes</w:t>
      </w:r>
      <w:proofErr w:type="spellEnd"/>
      <w:r w:rsidR="00F72FAB">
        <w:rPr>
          <w:rFonts w:eastAsia="Malgun Gothic"/>
        </w:rPr>
        <w:t xml:space="preserve"> with 14 OFDM symbols can be fully utilized for NR DL transmission for NR TDD mode operation.</w:t>
      </w:r>
    </w:p>
    <w:p w:rsidR="00E27EBE" w:rsidRDefault="00E27EBE" w:rsidP="00E27EBE">
      <w:pPr>
        <w:spacing w:before="60" w:after="60" w:line="288" w:lineRule="auto"/>
        <w:jc w:val="both"/>
        <w:rPr>
          <w:rFonts w:eastAsia="Malgun Gothic"/>
        </w:rPr>
      </w:pPr>
    </w:p>
    <w:p w:rsidR="00F72FAB" w:rsidRPr="00F72FAB" w:rsidRDefault="00F72FAB" w:rsidP="00E27EBE">
      <w:pPr>
        <w:spacing w:before="60" w:after="60" w:line="288" w:lineRule="auto"/>
        <w:jc w:val="both"/>
        <w:rPr>
          <w:rFonts w:eastAsia="Malgun Gothic"/>
          <w:i/>
        </w:rPr>
      </w:pPr>
      <w:r w:rsidRPr="00F72FAB">
        <w:rPr>
          <w:rFonts w:eastAsia="Malgun Gothic"/>
          <w:i/>
        </w:rPr>
        <w:t xml:space="preserve">Observation#2: NR RRC signalling should be flexible to configure different periodicities and offset for NR PDCCH monitoring considering different LTE </w:t>
      </w:r>
      <w:proofErr w:type="spellStart"/>
      <w:r w:rsidRPr="00F72FAB">
        <w:rPr>
          <w:rFonts w:eastAsia="Malgun Gothic"/>
          <w:i/>
        </w:rPr>
        <w:t>subframes</w:t>
      </w:r>
      <w:proofErr w:type="spellEnd"/>
      <w:r w:rsidRPr="00F72FAB">
        <w:rPr>
          <w:rFonts w:eastAsia="Malgun Gothic"/>
          <w:i/>
        </w:rPr>
        <w:t xml:space="preserve">. </w:t>
      </w:r>
    </w:p>
    <w:p w:rsidR="00F72FAB" w:rsidRDefault="00F72FAB" w:rsidP="00E27EBE">
      <w:pPr>
        <w:spacing w:before="60" w:after="60" w:line="288" w:lineRule="auto"/>
        <w:jc w:val="both"/>
        <w:rPr>
          <w:rFonts w:eastAsia="Malgun Gothic"/>
        </w:rPr>
      </w:pPr>
      <w:r>
        <w:rPr>
          <w:rFonts w:eastAsia="Malgun Gothic"/>
        </w:rPr>
        <w:t xml:space="preserve"> </w:t>
      </w:r>
    </w:p>
    <w:p w:rsidR="00A5021F" w:rsidRPr="00A5021F" w:rsidRDefault="00A5021F" w:rsidP="00F461C1">
      <w:pPr>
        <w:spacing w:before="60" w:after="60" w:line="288" w:lineRule="auto"/>
        <w:jc w:val="both"/>
        <w:rPr>
          <w:rFonts w:eastAsia="Batang"/>
          <w:b/>
          <w:color w:val="000000"/>
          <w:u w:val="single"/>
        </w:rPr>
      </w:pPr>
      <w:proofErr w:type="spellStart"/>
      <w:r w:rsidRPr="00A5021F">
        <w:rPr>
          <w:rFonts w:eastAsia="Malgun Gothic"/>
          <w:b/>
          <w:u w:val="single"/>
        </w:rPr>
        <w:t>SCell</w:t>
      </w:r>
      <w:proofErr w:type="spellEnd"/>
      <w:r w:rsidRPr="00A5021F">
        <w:rPr>
          <w:rFonts w:eastAsia="Malgun Gothic"/>
          <w:b/>
          <w:u w:val="single"/>
        </w:rPr>
        <w:t xml:space="preserve"> activation/deactivation</w:t>
      </w:r>
    </w:p>
    <w:p w:rsidR="00F461C1" w:rsidRDefault="00F461C1" w:rsidP="00F461C1">
      <w:pPr>
        <w:spacing w:before="60" w:after="60" w:line="288" w:lineRule="auto"/>
        <w:jc w:val="both"/>
        <w:rPr>
          <w:rFonts w:eastAsia="Batang"/>
          <w:color w:val="000000"/>
        </w:rPr>
      </w:pPr>
      <w:r>
        <w:rPr>
          <w:rFonts w:eastAsia="Batang"/>
          <w:color w:val="000000"/>
        </w:rPr>
        <w:t xml:space="preserve">LTE carrier aggregation (CA) is common deployment scenario </w:t>
      </w:r>
      <w:r w:rsidR="00EA50FF">
        <w:rPr>
          <w:rFonts w:eastAsia="Batang"/>
          <w:color w:val="000000"/>
        </w:rPr>
        <w:t xml:space="preserve">worldwide </w:t>
      </w:r>
      <w:r>
        <w:rPr>
          <w:rFonts w:eastAsia="Batang"/>
          <w:color w:val="000000"/>
        </w:rPr>
        <w:t xml:space="preserve">where </w:t>
      </w:r>
      <w:r w:rsidRPr="00BF16D8">
        <w:rPr>
          <w:rFonts w:eastAsia="Batang"/>
          <w:color w:val="000000"/>
        </w:rPr>
        <w:t>multiple LTE carriers</w:t>
      </w:r>
      <w:r>
        <w:rPr>
          <w:rFonts w:eastAsia="Batang" w:hint="eastAsia"/>
          <w:color w:val="000000"/>
        </w:rPr>
        <w:t xml:space="preserve"> </w:t>
      </w:r>
      <w:r>
        <w:rPr>
          <w:rFonts w:eastAsia="Batang"/>
          <w:color w:val="000000"/>
        </w:rPr>
        <w:t xml:space="preserve">are aggregated to </w:t>
      </w:r>
      <w:r w:rsidR="00A5021F">
        <w:rPr>
          <w:rFonts w:eastAsia="Batang"/>
          <w:color w:val="000000"/>
        </w:rPr>
        <w:t xml:space="preserve">support higher traffic demand from the </w:t>
      </w:r>
      <w:r w:rsidR="00EA50FF">
        <w:rPr>
          <w:rFonts w:eastAsia="Batang"/>
          <w:color w:val="000000"/>
        </w:rPr>
        <w:t xml:space="preserve">LTE </w:t>
      </w:r>
      <w:r w:rsidR="00A5021F">
        <w:rPr>
          <w:rFonts w:eastAsia="Batang"/>
          <w:color w:val="000000"/>
        </w:rPr>
        <w:t xml:space="preserve">UE. If </w:t>
      </w:r>
      <w:r>
        <w:rPr>
          <w:rFonts w:eastAsia="Batang"/>
          <w:color w:val="000000"/>
        </w:rPr>
        <w:t>NR</w:t>
      </w:r>
      <w:r w:rsidRPr="00BF16D8">
        <w:rPr>
          <w:rFonts w:eastAsia="Batang"/>
          <w:color w:val="000000"/>
        </w:rPr>
        <w:t xml:space="preserve"> cell </w:t>
      </w:r>
      <w:r w:rsidR="00A5021F">
        <w:rPr>
          <w:rFonts w:eastAsia="Batang"/>
          <w:color w:val="000000"/>
        </w:rPr>
        <w:t>is to be operated on some of the carriers used for LTE CA then</w:t>
      </w:r>
      <w:r w:rsidRPr="00BF16D8">
        <w:rPr>
          <w:rFonts w:eastAsia="Batang"/>
          <w:color w:val="000000"/>
        </w:rPr>
        <w:t xml:space="preserve">, activation/de-activation in Rel-10 CA can be </w:t>
      </w:r>
      <w:r>
        <w:rPr>
          <w:rFonts w:eastAsia="Batang"/>
          <w:color w:val="000000"/>
        </w:rPr>
        <w:t>one</w:t>
      </w:r>
      <w:r w:rsidRPr="00BF16D8">
        <w:rPr>
          <w:rFonts w:eastAsia="Batang"/>
          <w:color w:val="000000"/>
        </w:rPr>
        <w:t xml:space="preserve"> candidate to enable </w:t>
      </w:r>
      <w:r>
        <w:rPr>
          <w:rFonts w:eastAsia="Batang"/>
          <w:color w:val="000000"/>
        </w:rPr>
        <w:t>LTE-NR coexistence on</w:t>
      </w:r>
      <w:r w:rsidRPr="00BF16D8">
        <w:rPr>
          <w:rFonts w:eastAsia="Batang"/>
          <w:color w:val="000000"/>
        </w:rPr>
        <w:t xml:space="preserve"> multiple LTE carriers.</w:t>
      </w:r>
      <w:r>
        <w:rPr>
          <w:rFonts w:eastAsia="Batang"/>
          <w:color w:val="000000"/>
        </w:rPr>
        <w:t xml:space="preserve"> D</w:t>
      </w:r>
      <w:r w:rsidRPr="00BF16D8">
        <w:rPr>
          <w:rFonts w:eastAsia="Batang"/>
          <w:color w:val="000000"/>
        </w:rPr>
        <w:t xml:space="preserve">epending on </w:t>
      </w:r>
      <w:r>
        <w:rPr>
          <w:rFonts w:eastAsia="Batang"/>
          <w:color w:val="000000"/>
        </w:rPr>
        <w:t xml:space="preserve">the </w:t>
      </w:r>
      <w:r w:rsidRPr="00BF16D8">
        <w:rPr>
          <w:rFonts w:eastAsia="Batang"/>
          <w:color w:val="000000"/>
        </w:rPr>
        <w:t xml:space="preserve">traffic demands, </w:t>
      </w:r>
      <w:r>
        <w:rPr>
          <w:rFonts w:eastAsia="Batang"/>
          <w:color w:val="000000"/>
        </w:rPr>
        <w:t xml:space="preserve">LTE and NR transmissions on each </w:t>
      </w:r>
      <w:r>
        <w:rPr>
          <w:rFonts w:eastAsia="Batang"/>
          <w:color w:val="000000"/>
        </w:rPr>
        <w:lastRenderedPageBreak/>
        <w:t>carrier can be adaptively turned ON or OFF. For example, i</w:t>
      </w:r>
      <w:r w:rsidRPr="00BF16D8">
        <w:rPr>
          <w:rFonts w:eastAsia="Batang"/>
          <w:color w:val="000000"/>
        </w:rPr>
        <w:t xml:space="preserve">f </w:t>
      </w:r>
      <w:r>
        <w:rPr>
          <w:rFonts w:eastAsia="Batang"/>
          <w:color w:val="000000"/>
        </w:rPr>
        <w:t>NR</w:t>
      </w:r>
      <w:r w:rsidRPr="00BF16D8">
        <w:rPr>
          <w:rFonts w:eastAsia="Batang"/>
          <w:color w:val="000000"/>
        </w:rPr>
        <w:t xml:space="preserve"> traffic demand is </w:t>
      </w:r>
      <w:r>
        <w:rPr>
          <w:rFonts w:eastAsia="Batang"/>
          <w:color w:val="000000"/>
        </w:rPr>
        <w:t>higher than that of LTE</w:t>
      </w:r>
      <w:r w:rsidRPr="00BF16D8">
        <w:rPr>
          <w:rFonts w:eastAsia="Batang"/>
          <w:color w:val="000000"/>
        </w:rPr>
        <w:t xml:space="preserve">, </w:t>
      </w:r>
      <w:r>
        <w:rPr>
          <w:rFonts w:eastAsia="Batang"/>
          <w:color w:val="000000"/>
        </w:rPr>
        <w:t>NR</w:t>
      </w:r>
      <w:r w:rsidRPr="00BF16D8">
        <w:rPr>
          <w:rFonts w:eastAsia="Batang"/>
          <w:color w:val="000000"/>
        </w:rPr>
        <w:t xml:space="preserve"> </w:t>
      </w:r>
      <w:r>
        <w:rPr>
          <w:rFonts w:eastAsia="Batang"/>
          <w:color w:val="000000"/>
        </w:rPr>
        <w:t>transmission</w:t>
      </w:r>
      <w:r w:rsidRPr="00BF16D8">
        <w:rPr>
          <w:rFonts w:eastAsia="Batang"/>
          <w:color w:val="000000"/>
        </w:rPr>
        <w:t xml:space="preserve"> can be </w:t>
      </w:r>
      <w:r>
        <w:rPr>
          <w:rFonts w:eastAsia="Batang"/>
          <w:color w:val="000000"/>
        </w:rPr>
        <w:t>a</w:t>
      </w:r>
      <w:r w:rsidRPr="00BF16D8">
        <w:rPr>
          <w:rFonts w:eastAsia="Batang"/>
          <w:color w:val="000000"/>
        </w:rPr>
        <w:t xml:space="preserve">ctivated while </w:t>
      </w:r>
      <w:r>
        <w:rPr>
          <w:rFonts w:eastAsia="Batang"/>
          <w:color w:val="000000"/>
        </w:rPr>
        <w:t>LTE</w:t>
      </w:r>
      <w:r w:rsidRPr="00BF16D8">
        <w:rPr>
          <w:rFonts w:eastAsia="Batang"/>
          <w:color w:val="000000"/>
        </w:rPr>
        <w:t xml:space="preserve"> </w:t>
      </w:r>
      <w:r>
        <w:rPr>
          <w:rFonts w:eastAsia="Batang"/>
          <w:color w:val="000000"/>
        </w:rPr>
        <w:t>transmission on the</w:t>
      </w:r>
      <w:r w:rsidRPr="00BF16D8">
        <w:rPr>
          <w:rFonts w:eastAsia="Batang"/>
          <w:color w:val="000000"/>
        </w:rPr>
        <w:t xml:space="preserve"> </w:t>
      </w:r>
      <w:r>
        <w:rPr>
          <w:rFonts w:eastAsia="Batang"/>
          <w:color w:val="000000"/>
        </w:rPr>
        <w:t>same carrier is deactivated.</w:t>
      </w:r>
    </w:p>
    <w:p w:rsidR="00F461C1" w:rsidRDefault="00EA50FF" w:rsidP="00A5021F">
      <w:pPr>
        <w:spacing w:after="0"/>
        <w:jc w:val="both"/>
        <w:rPr>
          <w:i/>
        </w:rPr>
      </w:pPr>
      <w:r w:rsidRPr="00EA50FF">
        <w:rPr>
          <w:i/>
        </w:rPr>
        <w:t>Observation</w:t>
      </w:r>
      <w:r w:rsidR="00A5021F" w:rsidRPr="00EA50FF">
        <w:rPr>
          <w:i/>
        </w:rPr>
        <w:t>#</w:t>
      </w:r>
      <w:r w:rsidRPr="00EA50FF">
        <w:rPr>
          <w:i/>
        </w:rPr>
        <w:t>3</w:t>
      </w:r>
      <w:r w:rsidR="00F461C1" w:rsidRPr="00EA50FF">
        <w:rPr>
          <w:rFonts w:hint="eastAsia"/>
          <w:i/>
        </w:rPr>
        <w:t xml:space="preserve">: </w:t>
      </w:r>
      <w:proofErr w:type="spellStart"/>
      <w:r w:rsidR="00A5021F" w:rsidRPr="00EA50FF">
        <w:rPr>
          <w:i/>
        </w:rPr>
        <w:t>SCell</w:t>
      </w:r>
      <w:proofErr w:type="spellEnd"/>
      <w:r w:rsidR="00A5021F" w:rsidRPr="00EA50FF">
        <w:rPr>
          <w:i/>
        </w:rPr>
        <w:t xml:space="preserve"> </w:t>
      </w:r>
      <w:r w:rsidR="00F461C1" w:rsidRPr="00EA50FF">
        <w:rPr>
          <w:i/>
        </w:rPr>
        <w:t xml:space="preserve">activation/deactivation of a </w:t>
      </w:r>
      <w:r w:rsidR="00A5021F" w:rsidRPr="00EA50FF">
        <w:rPr>
          <w:i/>
        </w:rPr>
        <w:t xml:space="preserve">DL </w:t>
      </w:r>
      <w:r w:rsidR="00F461C1" w:rsidRPr="00EA50FF">
        <w:rPr>
          <w:i/>
        </w:rPr>
        <w:t xml:space="preserve">carrier </w:t>
      </w:r>
      <w:r w:rsidR="00A5021F" w:rsidRPr="00EA50FF">
        <w:rPr>
          <w:i/>
        </w:rPr>
        <w:t xml:space="preserve">in CA deployments can be considered as </w:t>
      </w:r>
      <w:r w:rsidR="00F461C1" w:rsidRPr="00EA50FF">
        <w:rPr>
          <w:i/>
        </w:rPr>
        <w:t xml:space="preserve">baseline for NR </w:t>
      </w:r>
      <w:r w:rsidR="00A5021F" w:rsidRPr="00EA50FF">
        <w:rPr>
          <w:i/>
        </w:rPr>
        <w:t xml:space="preserve">DL </w:t>
      </w:r>
      <w:r w:rsidR="00F461C1" w:rsidRPr="00EA50FF">
        <w:rPr>
          <w:i/>
        </w:rPr>
        <w:t xml:space="preserve">transmission </w:t>
      </w:r>
      <w:r w:rsidR="00A5021F" w:rsidRPr="00EA50FF">
        <w:rPr>
          <w:i/>
        </w:rPr>
        <w:t>in LTE+</w:t>
      </w:r>
      <w:r w:rsidR="00F461C1" w:rsidRPr="00EA50FF">
        <w:rPr>
          <w:i/>
        </w:rPr>
        <w:t>NR co</w:t>
      </w:r>
      <w:r w:rsidR="00A5021F" w:rsidRPr="00EA50FF">
        <w:rPr>
          <w:i/>
        </w:rPr>
        <w:t>-</w:t>
      </w:r>
      <w:r w:rsidR="00F461C1" w:rsidRPr="00EA50FF">
        <w:rPr>
          <w:i/>
        </w:rPr>
        <w:t>existence</w:t>
      </w:r>
      <w:r w:rsidR="00A5021F" w:rsidRPr="00EA50FF">
        <w:rPr>
          <w:i/>
        </w:rPr>
        <w:t xml:space="preserve"> in DL</w:t>
      </w:r>
      <w:r w:rsidR="00F461C1" w:rsidRPr="00EA50FF">
        <w:rPr>
          <w:i/>
        </w:rPr>
        <w:t>.</w:t>
      </w:r>
    </w:p>
    <w:p w:rsidR="0072237D" w:rsidRPr="00A5021F" w:rsidRDefault="0072237D" w:rsidP="00A5021F">
      <w:pPr>
        <w:spacing w:after="0"/>
        <w:jc w:val="both"/>
        <w:rPr>
          <w:i/>
        </w:rPr>
      </w:pPr>
    </w:p>
    <w:p w:rsidR="00F461C1" w:rsidRPr="00216DDD" w:rsidRDefault="00F461C1" w:rsidP="00F461C1">
      <w:pPr>
        <w:jc w:val="both"/>
        <w:rPr>
          <w:sz w:val="24"/>
        </w:rPr>
      </w:pPr>
      <w:r w:rsidRPr="00216DDD">
        <w:rPr>
          <w:sz w:val="24"/>
        </w:rPr>
        <w:t>3.</w:t>
      </w:r>
      <w:r>
        <w:rPr>
          <w:sz w:val="24"/>
        </w:rPr>
        <w:t>2</w:t>
      </w:r>
      <w:r w:rsidRPr="00216DDD">
        <w:rPr>
          <w:sz w:val="24"/>
        </w:rPr>
        <w:tab/>
      </w:r>
      <w:r>
        <w:rPr>
          <w:sz w:val="24"/>
        </w:rPr>
        <w:t>LTE+NR co-existence in U</w:t>
      </w:r>
      <w:r w:rsidRPr="00216DDD">
        <w:rPr>
          <w:sz w:val="24"/>
        </w:rPr>
        <w:t>L</w:t>
      </w:r>
    </w:p>
    <w:p w:rsidR="00EA50FF" w:rsidRDefault="00F461C1" w:rsidP="00F461C1">
      <w:pPr>
        <w:jc w:val="both"/>
      </w:pPr>
      <w:r>
        <w:t xml:space="preserve">For LTE and NR operations on same carrier in UL (either co-located or non-collocated) it should be possible to provide </w:t>
      </w:r>
      <w:r w:rsidRPr="00065CB1">
        <w:t xml:space="preserve">resource adaptation between LTE and </w:t>
      </w:r>
      <w:r>
        <w:t>NR</w:t>
      </w:r>
      <w:r w:rsidRPr="00065CB1">
        <w:t xml:space="preserve"> </w:t>
      </w:r>
      <w:r>
        <w:t xml:space="preserve">in TDM manner depending on the respective traffic demand. </w:t>
      </w:r>
    </w:p>
    <w:p w:rsidR="00EA50FF" w:rsidRPr="00EA50FF" w:rsidRDefault="00EA50FF" w:rsidP="00EA50FF">
      <w:pPr>
        <w:spacing w:before="60" w:after="60" w:line="288" w:lineRule="auto"/>
        <w:jc w:val="both"/>
        <w:rPr>
          <w:rFonts w:eastAsia="Malgun Gothic"/>
          <w:b/>
          <w:u w:val="single"/>
        </w:rPr>
      </w:pPr>
      <w:r w:rsidRPr="00EA50FF">
        <w:rPr>
          <w:rFonts w:eastAsia="Malgun Gothic"/>
          <w:b/>
          <w:u w:val="single"/>
        </w:rPr>
        <w:t>Semi-Static Configuration</w:t>
      </w:r>
    </w:p>
    <w:p w:rsidR="00EA50FF" w:rsidRPr="00FA50E6" w:rsidRDefault="00EA50FF" w:rsidP="00EA50FF">
      <w:pPr>
        <w:jc w:val="both"/>
      </w:pPr>
      <w:r w:rsidRPr="00072541">
        <w:rPr>
          <w:rFonts w:hint="eastAsia"/>
        </w:rPr>
        <w:t>In Fig</w:t>
      </w:r>
      <w:r w:rsidRPr="00072541">
        <w:t>ure</w:t>
      </w:r>
      <w:r w:rsidRPr="00072541">
        <w:rPr>
          <w:rFonts w:hint="eastAsia"/>
        </w:rPr>
        <w:t xml:space="preserve"> </w:t>
      </w:r>
      <w:r w:rsidRPr="00072541">
        <w:t>2</w:t>
      </w:r>
      <w:r w:rsidRPr="00072541">
        <w:rPr>
          <w:rFonts w:hint="eastAsia"/>
        </w:rPr>
        <w:t xml:space="preserve">, TDM based LTE-NR coexistence examples are shown. In FDD, the LTE uplink </w:t>
      </w:r>
      <w:proofErr w:type="spellStart"/>
      <w:r w:rsidRPr="00072541">
        <w:rPr>
          <w:rFonts w:hint="eastAsia"/>
        </w:rPr>
        <w:t>subframes</w:t>
      </w:r>
      <w:proofErr w:type="spellEnd"/>
      <w:r w:rsidRPr="00072541">
        <w:rPr>
          <w:rFonts w:hint="eastAsia"/>
        </w:rPr>
        <w:t xml:space="preserve"> can be used by NR uplink. In TDD, both MBSFN </w:t>
      </w:r>
      <w:proofErr w:type="spellStart"/>
      <w:r w:rsidRPr="00072541">
        <w:rPr>
          <w:rFonts w:hint="eastAsia"/>
        </w:rPr>
        <w:t>subframes</w:t>
      </w:r>
      <w:proofErr w:type="spellEnd"/>
      <w:r w:rsidRPr="00072541">
        <w:rPr>
          <w:rFonts w:hint="eastAsia"/>
        </w:rPr>
        <w:t xml:space="preserve"> and LTE uplink </w:t>
      </w:r>
      <w:proofErr w:type="spellStart"/>
      <w:r w:rsidRPr="00072541">
        <w:rPr>
          <w:rFonts w:hint="eastAsia"/>
        </w:rPr>
        <w:t>subframes</w:t>
      </w:r>
      <w:proofErr w:type="spellEnd"/>
      <w:r w:rsidRPr="00072541">
        <w:rPr>
          <w:rFonts w:hint="eastAsia"/>
        </w:rPr>
        <w:t xml:space="preserve"> can be used by NR uplink. It is assumed </w:t>
      </w:r>
      <w:r w:rsidRPr="00072541">
        <w:t>for the NR TDD operation</w:t>
      </w:r>
      <w:r w:rsidRPr="00072541">
        <w:rPr>
          <w:rFonts w:hint="eastAsia"/>
        </w:rPr>
        <w:t xml:space="preserve"> that the MBSFN </w:t>
      </w:r>
      <w:proofErr w:type="spellStart"/>
      <w:r w:rsidRPr="00072541">
        <w:rPr>
          <w:rFonts w:hint="eastAsia"/>
        </w:rPr>
        <w:t>subframes</w:t>
      </w:r>
      <w:proofErr w:type="spellEnd"/>
      <w:r w:rsidRPr="00072541">
        <w:rPr>
          <w:rFonts w:hint="eastAsia"/>
        </w:rPr>
        <w:t xml:space="preserve"> are not </w:t>
      </w:r>
      <w:r w:rsidRPr="00072541">
        <w:t>utilized</w:t>
      </w:r>
      <w:r w:rsidRPr="00072541">
        <w:rPr>
          <w:rFonts w:hint="eastAsia"/>
        </w:rPr>
        <w:t xml:space="preserve"> by LTE downlink </w:t>
      </w:r>
      <w:r w:rsidRPr="00072541">
        <w:t>transmission</w:t>
      </w:r>
      <w:r w:rsidRPr="00072541">
        <w:rPr>
          <w:rFonts w:hint="eastAsia"/>
        </w:rPr>
        <w:t xml:space="preserve"> when it is used for NR uplink transmission. </w:t>
      </w:r>
      <w:r>
        <w:t xml:space="preserve">Further, due to the fixed HARQ-ACK timing and the scarcity of UL </w:t>
      </w:r>
      <w:proofErr w:type="spellStart"/>
      <w:r>
        <w:t>subframes</w:t>
      </w:r>
      <w:proofErr w:type="spellEnd"/>
      <w:r>
        <w:t xml:space="preserve"> for most UL/DL configuration, the LTE PUCCH region will need to be avoided by NR transmissions (unless there is no DL scheduling for LTE UEs)</w:t>
      </w:r>
      <w:r w:rsidR="00675000">
        <w:t xml:space="preserve"> [4]</w:t>
      </w:r>
      <w:r>
        <w:t>.</w:t>
      </w:r>
    </w:p>
    <w:p w:rsidR="00EA50FF" w:rsidRDefault="00EA50FF" w:rsidP="00EA50FF">
      <w:pPr>
        <w:jc w:val="center"/>
      </w:pPr>
      <w:r>
        <w:rPr>
          <w:noProof/>
          <w:lang w:val="en-US"/>
        </w:rPr>
        <w:drawing>
          <wp:inline distT="0" distB="0" distL="0" distR="0">
            <wp:extent cx="4099560" cy="17684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9560" cy="1768475"/>
                    </a:xfrm>
                    <a:prstGeom prst="rect">
                      <a:avLst/>
                    </a:prstGeom>
                    <a:noFill/>
                    <a:ln>
                      <a:noFill/>
                    </a:ln>
                    <a:effectLst/>
                  </pic:spPr>
                </pic:pic>
              </a:graphicData>
            </a:graphic>
          </wp:inline>
        </w:drawing>
      </w:r>
    </w:p>
    <w:p w:rsidR="00EA50FF" w:rsidRPr="00675000" w:rsidRDefault="00EA50FF" w:rsidP="00EA50FF">
      <w:pPr>
        <w:pStyle w:val="Caption"/>
        <w:jc w:val="center"/>
        <w:rPr>
          <w:lang w:val="en-US"/>
        </w:rPr>
      </w:pPr>
      <w:r w:rsidRPr="001A4385">
        <w:rPr>
          <w:lang w:val="x-none"/>
        </w:rPr>
        <w:t xml:space="preserve">Figure </w:t>
      </w:r>
      <w:r>
        <w:rPr>
          <w:lang w:val="en-US"/>
        </w:rPr>
        <w:t>2</w:t>
      </w:r>
      <w:r w:rsidRPr="001A4385">
        <w:rPr>
          <w:rFonts w:hint="eastAsia"/>
          <w:lang w:val="x-none"/>
        </w:rPr>
        <w:t xml:space="preserve"> </w:t>
      </w:r>
      <w:r>
        <w:rPr>
          <w:lang w:val="x-none"/>
        </w:rPr>
        <w:t xml:space="preserve">Examples of </w:t>
      </w:r>
      <w:r>
        <w:rPr>
          <w:rFonts w:hint="eastAsia"/>
          <w:lang w:val="x-none"/>
        </w:rPr>
        <w:t>TDM based LTE-NR coexistence</w:t>
      </w:r>
      <w:r w:rsidR="00675000">
        <w:rPr>
          <w:lang w:val="en-US"/>
        </w:rPr>
        <w:t xml:space="preserve"> [4]</w:t>
      </w:r>
    </w:p>
    <w:p w:rsidR="0072237D" w:rsidRDefault="0072237D" w:rsidP="0072237D">
      <w:pPr>
        <w:spacing w:after="0"/>
        <w:jc w:val="both"/>
        <w:rPr>
          <w:rFonts w:eastAsia="Malgun Gothic"/>
          <w:i/>
        </w:rPr>
      </w:pPr>
      <w:r w:rsidRPr="00EA50FF">
        <w:rPr>
          <w:i/>
        </w:rPr>
        <w:t>Observation#</w:t>
      </w:r>
      <w:r>
        <w:rPr>
          <w:i/>
        </w:rPr>
        <w:t>4</w:t>
      </w:r>
      <w:r w:rsidRPr="00EA50FF">
        <w:rPr>
          <w:rFonts w:hint="eastAsia"/>
          <w:i/>
        </w:rPr>
        <w:t xml:space="preserve">: </w:t>
      </w:r>
      <w:r>
        <w:rPr>
          <w:i/>
        </w:rPr>
        <w:t xml:space="preserve">NR RRC signalling </w:t>
      </w:r>
      <w:r w:rsidRPr="00F72FAB">
        <w:rPr>
          <w:rFonts w:eastAsia="Malgun Gothic"/>
          <w:i/>
        </w:rPr>
        <w:t xml:space="preserve">should be flexible to </w:t>
      </w:r>
      <w:r>
        <w:rPr>
          <w:rFonts w:eastAsia="Malgun Gothic"/>
          <w:i/>
        </w:rPr>
        <w:t xml:space="preserve">provide semi-static </w:t>
      </w:r>
      <w:r w:rsidRPr="00F72FAB">
        <w:rPr>
          <w:rFonts w:eastAsia="Malgun Gothic"/>
          <w:i/>
        </w:rPr>
        <w:t>configur</w:t>
      </w:r>
      <w:r>
        <w:rPr>
          <w:rFonts w:eastAsia="Malgun Gothic"/>
          <w:i/>
        </w:rPr>
        <w:t>ation for TDM based LTE+NR co-existence.</w:t>
      </w:r>
    </w:p>
    <w:p w:rsidR="0072237D" w:rsidRDefault="0072237D" w:rsidP="0072237D">
      <w:pPr>
        <w:spacing w:after="0"/>
        <w:jc w:val="both"/>
        <w:rPr>
          <w:rFonts w:eastAsia="Malgun Gothic"/>
          <w:i/>
        </w:rPr>
      </w:pPr>
    </w:p>
    <w:p w:rsidR="0072237D" w:rsidRPr="00072541" w:rsidRDefault="0072237D" w:rsidP="00072541">
      <w:pPr>
        <w:pStyle w:val="Heading1"/>
        <w:rPr>
          <w:sz w:val="32"/>
          <w:szCs w:val="32"/>
        </w:rPr>
      </w:pPr>
      <w:r w:rsidRPr="00072541">
        <w:rPr>
          <w:sz w:val="32"/>
          <w:szCs w:val="32"/>
        </w:rPr>
        <w:t>Mechanisms to support LTE+NR co-existence</w:t>
      </w:r>
      <w:r w:rsidR="00072541">
        <w:rPr>
          <w:sz w:val="32"/>
          <w:szCs w:val="32"/>
        </w:rPr>
        <w:t xml:space="preserve"> in adjacent carrier</w:t>
      </w:r>
    </w:p>
    <w:p w:rsidR="0072237D" w:rsidRPr="009B746C" w:rsidRDefault="0072237D" w:rsidP="0072237D">
      <w:pPr>
        <w:jc w:val="both"/>
      </w:pPr>
      <w:r>
        <w:t xml:space="preserve">Existing LTE mechanisms like TDM ICIC and Almost blank </w:t>
      </w:r>
      <w:proofErr w:type="spellStart"/>
      <w:r>
        <w:t>subframes</w:t>
      </w:r>
      <w:proofErr w:type="spellEnd"/>
      <w:r>
        <w:t xml:space="preserve"> (ABS) can be applied on the LTE cells to protect co-channel transmissions from overlapping NR cells. T</w:t>
      </w:r>
      <w:r w:rsidRPr="009B746C">
        <w:rPr>
          <w:rFonts w:hint="eastAsia"/>
        </w:rPr>
        <w:t xml:space="preserve">here might be </w:t>
      </w:r>
      <w:r>
        <w:t xml:space="preserve">some </w:t>
      </w:r>
      <w:r w:rsidRPr="009B746C">
        <w:t>specification support</w:t>
      </w:r>
      <w:r w:rsidRPr="009B746C">
        <w:rPr>
          <w:rFonts w:hint="eastAsia"/>
        </w:rPr>
        <w:t xml:space="preserve"> needed</w:t>
      </w:r>
      <w:r w:rsidRPr="009B746C">
        <w:t xml:space="preserve"> for TDD </w:t>
      </w:r>
      <w:r>
        <w:t>operation</w:t>
      </w:r>
      <w:r w:rsidRPr="009B746C">
        <w:t xml:space="preserve"> in order to avoid cross interference between the NR downlink and the LTE uplink, </w:t>
      </w:r>
      <w:r>
        <w:t xml:space="preserve">and </w:t>
      </w:r>
      <w:r w:rsidRPr="009B746C">
        <w:t xml:space="preserve">vice versa. Considering LTE TDD supports seven UL-DL configurations, at least a subset of the UL-DL configurations for the NR would need to be compatible to those of LTE such as to avoid cross interference with LTE. </w:t>
      </w:r>
      <w:r w:rsidR="00072541">
        <w:t xml:space="preserve">At RAN1#NR Ad-hoc, </w:t>
      </w:r>
      <w:r w:rsidR="00072541">
        <w:rPr>
          <w:rFonts w:eastAsia="Malgun Gothic"/>
        </w:rPr>
        <w:t xml:space="preserve">it was agreed that </w:t>
      </w:r>
      <w:r w:rsidR="00072541" w:rsidRPr="009568C4">
        <w:rPr>
          <w:rFonts w:hint="eastAsia"/>
        </w:rPr>
        <w:t xml:space="preserve">NR supports </w:t>
      </w:r>
      <w:r w:rsidR="00072541" w:rsidRPr="009568C4">
        <w:t>efficient</w:t>
      </w:r>
      <w:r w:rsidR="00072541" w:rsidRPr="009568C4">
        <w:rPr>
          <w:rFonts w:hint="eastAsia"/>
        </w:rPr>
        <w:t xml:space="preserve"> adjacent channel co-existence with LTE-TDD using UL-DL configurations 0,</w:t>
      </w:r>
      <w:r w:rsidR="00072541">
        <w:t xml:space="preserve"> </w:t>
      </w:r>
      <w:r w:rsidR="00072541" w:rsidRPr="009568C4">
        <w:rPr>
          <w:rFonts w:hint="eastAsia"/>
        </w:rPr>
        <w:t>1,</w:t>
      </w:r>
      <w:r w:rsidR="00072541">
        <w:t xml:space="preserve"> </w:t>
      </w:r>
      <w:r w:rsidR="00072541" w:rsidRPr="009568C4">
        <w:rPr>
          <w:rFonts w:hint="eastAsia"/>
        </w:rPr>
        <w:t>2,</w:t>
      </w:r>
      <w:r w:rsidR="00072541">
        <w:t xml:space="preserve"> </w:t>
      </w:r>
      <w:r w:rsidR="00072541" w:rsidRPr="009568C4">
        <w:rPr>
          <w:rFonts w:hint="eastAsia"/>
        </w:rPr>
        <w:t>3,</w:t>
      </w:r>
      <w:r w:rsidR="00072541">
        <w:t xml:space="preserve"> </w:t>
      </w:r>
      <w:r w:rsidR="00072541" w:rsidRPr="009568C4">
        <w:rPr>
          <w:rFonts w:hint="eastAsia"/>
        </w:rPr>
        <w:t>4,</w:t>
      </w:r>
      <w:r w:rsidR="00072541">
        <w:t xml:space="preserve"> </w:t>
      </w:r>
      <w:r w:rsidR="00072541" w:rsidRPr="009568C4">
        <w:rPr>
          <w:rFonts w:hint="eastAsia"/>
        </w:rPr>
        <w:t>5</w:t>
      </w:r>
      <w:r w:rsidR="00072541">
        <w:t xml:space="preserve"> and </w:t>
      </w:r>
      <w:r w:rsidR="00072541" w:rsidRPr="009568C4">
        <w:rPr>
          <w:rFonts w:hint="eastAsia"/>
        </w:rPr>
        <w:t xml:space="preserve">all the special </w:t>
      </w:r>
      <w:proofErr w:type="spellStart"/>
      <w:r w:rsidR="00072541" w:rsidRPr="009568C4">
        <w:rPr>
          <w:rFonts w:hint="eastAsia"/>
        </w:rPr>
        <w:t>subframe</w:t>
      </w:r>
      <w:proofErr w:type="spellEnd"/>
      <w:r w:rsidR="00072541" w:rsidRPr="009568C4">
        <w:rPr>
          <w:rFonts w:hint="eastAsia"/>
        </w:rPr>
        <w:t xml:space="preserve"> configurations</w:t>
      </w:r>
      <w:r w:rsidR="00072541">
        <w:t>.</w:t>
      </w:r>
      <w:r w:rsidR="00072541" w:rsidRPr="009B746C">
        <w:t xml:space="preserve"> </w:t>
      </w:r>
      <w:r w:rsidR="00072541">
        <w:t>Therefore</w:t>
      </w:r>
      <w:r w:rsidRPr="009B746C">
        <w:t xml:space="preserve">, the information on a UL-DL configuration selected for LTE-NR coexistence </w:t>
      </w:r>
      <w:r w:rsidRPr="009B746C">
        <w:rPr>
          <w:rFonts w:hint="eastAsia"/>
        </w:rPr>
        <w:t>may need to be</w:t>
      </w:r>
      <w:r w:rsidRPr="009B746C">
        <w:t xml:space="preserve"> exchanged between LTE</w:t>
      </w:r>
      <w:r>
        <w:t xml:space="preserve"> </w:t>
      </w:r>
      <w:proofErr w:type="spellStart"/>
      <w:r>
        <w:t>eNB</w:t>
      </w:r>
      <w:proofErr w:type="spellEnd"/>
      <w:r w:rsidRPr="009B746C">
        <w:t xml:space="preserve"> and NR</w:t>
      </w:r>
      <w:r w:rsidRPr="009B746C">
        <w:rPr>
          <w:rFonts w:hint="eastAsia"/>
        </w:rPr>
        <w:t xml:space="preserve"> </w:t>
      </w:r>
      <w:proofErr w:type="spellStart"/>
      <w:r>
        <w:t>gNB</w:t>
      </w:r>
      <w:proofErr w:type="spellEnd"/>
      <w:r>
        <w:t xml:space="preserve"> </w:t>
      </w:r>
      <w:r w:rsidRPr="009B746C">
        <w:rPr>
          <w:rFonts w:hint="eastAsia"/>
        </w:rPr>
        <w:t xml:space="preserve">for </w:t>
      </w:r>
      <w:r w:rsidRPr="009B746C">
        <w:t>tight coordination.</w:t>
      </w:r>
    </w:p>
    <w:p w:rsidR="0072237D" w:rsidRDefault="00072541" w:rsidP="00072541">
      <w:pPr>
        <w:jc w:val="both"/>
        <w:rPr>
          <w:rFonts w:eastAsia="Malgun Gothic"/>
          <w:i/>
        </w:rPr>
      </w:pPr>
      <w:r>
        <w:rPr>
          <w:rFonts w:eastAsia="Malgun Gothic"/>
          <w:i/>
        </w:rPr>
        <w:t xml:space="preserve">Observation#5: </w:t>
      </w:r>
      <w:proofErr w:type="spellStart"/>
      <w:r>
        <w:rPr>
          <w:rFonts w:eastAsia="Malgun Gothic"/>
          <w:i/>
        </w:rPr>
        <w:t>Xn</w:t>
      </w:r>
      <w:proofErr w:type="spellEnd"/>
      <w:r>
        <w:rPr>
          <w:rFonts w:eastAsia="Malgun Gothic"/>
          <w:i/>
        </w:rPr>
        <w:t xml:space="preserve"> signalling support is needed to exchange </w:t>
      </w:r>
      <w:r w:rsidRPr="00072541">
        <w:rPr>
          <w:rFonts w:eastAsia="Malgun Gothic"/>
          <w:i/>
        </w:rPr>
        <w:t xml:space="preserve">information between LTE </w:t>
      </w:r>
      <w:proofErr w:type="spellStart"/>
      <w:r w:rsidRPr="00072541">
        <w:rPr>
          <w:rFonts w:eastAsia="Malgun Gothic"/>
          <w:i/>
        </w:rPr>
        <w:t>eNB</w:t>
      </w:r>
      <w:proofErr w:type="spellEnd"/>
      <w:r w:rsidRPr="00072541">
        <w:rPr>
          <w:rFonts w:eastAsia="Malgun Gothic"/>
          <w:i/>
        </w:rPr>
        <w:t xml:space="preserve"> and NR</w:t>
      </w:r>
      <w:r w:rsidRPr="00072541">
        <w:rPr>
          <w:rFonts w:eastAsia="Malgun Gothic" w:hint="eastAsia"/>
          <w:i/>
        </w:rPr>
        <w:t xml:space="preserve"> </w:t>
      </w:r>
      <w:proofErr w:type="spellStart"/>
      <w:r w:rsidRPr="00072541">
        <w:rPr>
          <w:rFonts w:eastAsia="Malgun Gothic"/>
          <w:i/>
        </w:rPr>
        <w:t>gNB</w:t>
      </w:r>
      <w:proofErr w:type="spellEnd"/>
      <w:r w:rsidR="00817CE8">
        <w:rPr>
          <w:rFonts w:eastAsia="Malgun Gothic"/>
          <w:i/>
        </w:rPr>
        <w:t xml:space="preserve"> </w:t>
      </w:r>
      <w:r>
        <w:rPr>
          <w:rFonts w:eastAsia="Malgun Gothic"/>
          <w:i/>
        </w:rPr>
        <w:t>on the</w:t>
      </w:r>
      <w:r w:rsidRPr="00072541">
        <w:rPr>
          <w:rFonts w:eastAsia="Malgun Gothic"/>
          <w:i/>
        </w:rPr>
        <w:t xml:space="preserve"> UL-DL configuration selected for LTE-NR coexistence</w:t>
      </w:r>
      <w:r>
        <w:rPr>
          <w:rFonts w:eastAsia="Malgun Gothic"/>
          <w:i/>
        </w:rPr>
        <w:t>.</w:t>
      </w:r>
    </w:p>
    <w:p w:rsidR="00793C19" w:rsidRDefault="00793C19" w:rsidP="00793C19">
      <w:pPr>
        <w:pStyle w:val="Heading1"/>
      </w:pPr>
      <w:r>
        <w:t>Conclusion</w:t>
      </w:r>
    </w:p>
    <w:p w:rsidR="00793C19" w:rsidRPr="00E5409F" w:rsidRDefault="00E5409F" w:rsidP="00793C19">
      <w:pPr>
        <w:rPr>
          <w:lang w:val="en-US"/>
        </w:rPr>
      </w:pPr>
      <w:r>
        <w:rPr>
          <w:lang w:val="en-US"/>
        </w:rPr>
        <w:t>We conclude the contribution with following observations and proposal</w:t>
      </w:r>
      <w:r w:rsidR="00793C19" w:rsidRPr="00E5409F">
        <w:rPr>
          <w:lang w:val="en-US"/>
        </w:rPr>
        <w:t>:</w:t>
      </w:r>
    </w:p>
    <w:p w:rsidR="0072237D" w:rsidRPr="003479B5" w:rsidRDefault="0072237D" w:rsidP="0072237D">
      <w:pPr>
        <w:spacing w:before="60" w:after="60" w:line="288" w:lineRule="auto"/>
        <w:jc w:val="both"/>
        <w:rPr>
          <w:rFonts w:eastAsia="Malgun Gothic"/>
          <w:i/>
        </w:rPr>
      </w:pPr>
      <w:r w:rsidRPr="003479B5">
        <w:rPr>
          <w:rFonts w:eastAsia="Malgun Gothic"/>
          <w:i/>
        </w:rPr>
        <w:lastRenderedPageBreak/>
        <w:t xml:space="preserve">Observation#1: Based on RAN1 agreement to support NR DL transmission in normal LTE DL </w:t>
      </w:r>
      <w:proofErr w:type="spellStart"/>
      <w:r w:rsidRPr="003479B5">
        <w:rPr>
          <w:rFonts w:eastAsia="Malgun Gothic"/>
          <w:i/>
        </w:rPr>
        <w:t>subframes</w:t>
      </w:r>
      <w:proofErr w:type="spellEnd"/>
      <w:r w:rsidRPr="003479B5">
        <w:rPr>
          <w:rFonts w:eastAsia="Malgun Gothic"/>
          <w:i/>
        </w:rPr>
        <w:t>, the NR RRC signalling should be flexible to res</w:t>
      </w:r>
      <w:r>
        <w:rPr>
          <w:rFonts w:eastAsia="Malgun Gothic"/>
          <w:i/>
        </w:rPr>
        <w:t>e</w:t>
      </w:r>
      <w:r w:rsidRPr="003479B5">
        <w:rPr>
          <w:rFonts w:eastAsia="Malgun Gothic"/>
          <w:i/>
        </w:rPr>
        <w:t>rve/restrict resources at the granularity of OFDM symbol level to protect the LTE signals/channels like PSS/SSS, PBCH, PDCCH, CRS, paging etc.</w:t>
      </w:r>
    </w:p>
    <w:p w:rsidR="00446A0B" w:rsidRPr="00F35C1D" w:rsidRDefault="00446A0B" w:rsidP="00446A0B">
      <w:pPr>
        <w:spacing w:after="0"/>
        <w:rPr>
          <w:i/>
          <w:sz w:val="12"/>
          <w:szCs w:val="12"/>
        </w:rPr>
      </w:pPr>
    </w:p>
    <w:p w:rsidR="0072237D" w:rsidRPr="00F72FAB" w:rsidRDefault="0072237D" w:rsidP="0072237D">
      <w:pPr>
        <w:spacing w:before="60" w:after="60" w:line="288" w:lineRule="auto"/>
        <w:jc w:val="both"/>
        <w:rPr>
          <w:rFonts w:eastAsia="Malgun Gothic"/>
          <w:i/>
        </w:rPr>
      </w:pPr>
      <w:r w:rsidRPr="00F72FAB">
        <w:rPr>
          <w:rFonts w:eastAsia="Malgun Gothic"/>
          <w:i/>
        </w:rPr>
        <w:t xml:space="preserve">Observation#2: NR RRC signalling should be flexible to configure different periodicities and offset for NR PDCCH monitoring considering different LTE </w:t>
      </w:r>
      <w:proofErr w:type="spellStart"/>
      <w:r w:rsidRPr="00F72FAB">
        <w:rPr>
          <w:rFonts w:eastAsia="Malgun Gothic"/>
          <w:i/>
        </w:rPr>
        <w:t>subframes</w:t>
      </w:r>
      <w:proofErr w:type="spellEnd"/>
      <w:r w:rsidRPr="00F72FAB">
        <w:rPr>
          <w:rFonts w:eastAsia="Malgun Gothic"/>
          <w:i/>
        </w:rPr>
        <w:t xml:space="preserve">. </w:t>
      </w:r>
    </w:p>
    <w:p w:rsidR="00446A0B" w:rsidRPr="00F35C1D" w:rsidRDefault="00446A0B" w:rsidP="00446A0B">
      <w:pPr>
        <w:spacing w:after="0"/>
        <w:rPr>
          <w:i/>
          <w:sz w:val="12"/>
          <w:szCs w:val="12"/>
        </w:rPr>
      </w:pPr>
    </w:p>
    <w:p w:rsidR="0072237D" w:rsidRDefault="0072237D" w:rsidP="0072237D">
      <w:pPr>
        <w:spacing w:after="0"/>
        <w:jc w:val="both"/>
        <w:rPr>
          <w:i/>
        </w:rPr>
      </w:pPr>
      <w:r w:rsidRPr="00EA50FF">
        <w:rPr>
          <w:i/>
        </w:rPr>
        <w:t>Observation#3</w:t>
      </w:r>
      <w:r w:rsidRPr="00EA50FF">
        <w:rPr>
          <w:rFonts w:hint="eastAsia"/>
          <w:i/>
        </w:rPr>
        <w:t xml:space="preserve">: </w:t>
      </w:r>
      <w:proofErr w:type="spellStart"/>
      <w:r w:rsidRPr="00EA50FF">
        <w:rPr>
          <w:i/>
        </w:rPr>
        <w:t>SCell</w:t>
      </w:r>
      <w:proofErr w:type="spellEnd"/>
      <w:r w:rsidRPr="00EA50FF">
        <w:rPr>
          <w:i/>
        </w:rPr>
        <w:t xml:space="preserve"> activation/deactivation of a DL carrier in CA deployments can be considered as baseline for NR DL transmission in LTE+NR co-existence in DL.</w:t>
      </w:r>
    </w:p>
    <w:p w:rsidR="00E5409F" w:rsidRPr="00F35C1D" w:rsidRDefault="00E5409F" w:rsidP="00D40EF4">
      <w:pPr>
        <w:spacing w:after="0"/>
        <w:ind w:left="1418" w:hanging="1418"/>
        <w:jc w:val="both"/>
        <w:rPr>
          <w:rFonts w:ascii="Arial" w:hAnsi="Arial" w:cs="Arial"/>
          <w:i/>
        </w:rPr>
      </w:pPr>
    </w:p>
    <w:p w:rsidR="0072237D" w:rsidRDefault="0072237D" w:rsidP="0072237D">
      <w:pPr>
        <w:spacing w:after="0"/>
        <w:jc w:val="both"/>
        <w:rPr>
          <w:rFonts w:eastAsia="Malgun Gothic"/>
          <w:i/>
        </w:rPr>
      </w:pPr>
      <w:r w:rsidRPr="00EA50FF">
        <w:rPr>
          <w:i/>
        </w:rPr>
        <w:t>Observation#</w:t>
      </w:r>
      <w:r>
        <w:rPr>
          <w:i/>
        </w:rPr>
        <w:t>4</w:t>
      </w:r>
      <w:r w:rsidRPr="00EA50FF">
        <w:rPr>
          <w:rFonts w:hint="eastAsia"/>
          <w:i/>
        </w:rPr>
        <w:t xml:space="preserve">: </w:t>
      </w:r>
      <w:r>
        <w:rPr>
          <w:i/>
        </w:rPr>
        <w:t xml:space="preserve">NR RRC signalling </w:t>
      </w:r>
      <w:r w:rsidRPr="00F72FAB">
        <w:rPr>
          <w:rFonts w:eastAsia="Malgun Gothic"/>
          <w:i/>
        </w:rPr>
        <w:t xml:space="preserve">should be flexible to </w:t>
      </w:r>
      <w:r>
        <w:rPr>
          <w:rFonts w:eastAsia="Malgun Gothic"/>
          <w:i/>
        </w:rPr>
        <w:t xml:space="preserve">provide semi-static </w:t>
      </w:r>
      <w:r w:rsidRPr="00F72FAB">
        <w:rPr>
          <w:rFonts w:eastAsia="Malgun Gothic"/>
          <w:i/>
        </w:rPr>
        <w:t>configur</w:t>
      </w:r>
      <w:r>
        <w:rPr>
          <w:rFonts w:eastAsia="Malgun Gothic"/>
          <w:i/>
        </w:rPr>
        <w:t>ation for TDM based LTE+NR co-existence.</w:t>
      </w:r>
    </w:p>
    <w:p w:rsidR="0072237D" w:rsidRDefault="0072237D" w:rsidP="0072237D">
      <w:pPr>
        <w:spacing w:after="0"/>
        <w:jc w:val="both"/>
        <w:rPr>
          <w:i/>
        </w:rPr>
      </w:pPr>
    </w:p>
    <w:p w:rsidR="0072237D" w:rsidRDefault="00072541" w:rsidP="00072541">
      <w:pPr>
        <w:jc w:val="both"/>
        <w:rPr>
          <w:rFonts w:eastAsia="Malgun Gothic"/>
          <w:i/>
        </w:rPr>
      </w:pPr>
      <w:r>
        <w:rPr>
          <w:rFonts w:eastAsia="Malgun Gothic"/>
          <w:i/>
        </w:rPr>
        <w:t xml:space="preserve">Observation#5: </w:t>
      </w:r>
      <w:proofErr w:type="spellStart"/>
      <w:r>
        <w:rPr>
          <w:rFonts w:eastAsia="Malgun Gothic"/>
          <w:i/>
        </w:rPr>
        <w:t>Xn</w:t>
      </w:r>
      <w:proofErr w:type="spellEnd"/>
      <w:r>
        <w:rPr>
          <w:rFonts w:eastAsia="Malgun Gothic"/>
          <w:i/>
        </w:rPr>
        <w:t xml:space="preserve"> signalling support is needed to exchange </w:t>
      </w:r>
      <w:r w:rsidRPr="00072541">
        <w:rPr>
          <w:rFonts w:eastAsia="Malgun Gothic"/>
          <w:i/>
        </w:rPr>
        <w:t xml:space="preserve">information between LTE </w:t>
      </w:r>
      <w:proofErr w:type="spellStart"/>
      <w:r w:rsidRPr="00072541">
        <w:rPr>
          <w:rFonts w:eastAsia="Malgun Gothic"/>
          <w:i/>
        </w:rPr>
        <w:t>eNB</w:t>
      </w:r>
      <w:proofErr w:type="spellEnd"/>
      <w:r w:rsidRPr="00072541">
        <w:rPr>
          <w:rFonts w:eastAsia="Malgun Gothic"/>
          <w:i/>
        </w:rPr>
        <w:t xml:space="preserve"> and NR</w:t>
      </w:r>
      <w:r w:rsidRPr="00072541">
        <w:rPr>
          <w:rFonts w:eastAsia="Malgun Gothic" w:hint="eastAsia"/>
          <w:i/>
        </w:rPr>
        <w:t xml:space="preserve"> </w:t>
      </w:r>
      <w:proofErr w:type="spellStart"/>
      <w:r w:rsidRPr="00072541">
        <w:rPr>
          <w:rFonts w:eastAsia="Malgun Gothic"/>
          <w:i/>
        </w:rPr>
        <w:t>gNB</w:t>
      </w:r>
      <w:proofErr w:type="spellEnd"/>
      <w:r w:rsidR="00817CE8">
        <w:rPr>
          <w:rFonts w:eastAsia="Malgun Gothic"/>
          <w:i/>
        </w:rPr>
        <w:t xml:space="preserve"> </w:t>
      </w:r>
      <w:r>
        <w:rPr>
          <w:rFonts w:eastAsia="Malgun Gothic"/>
          <w:i/>
        </w:rPr>
        <w:t>on the</w:t>
      </w:r>
      <w:r w:rsidRPr="00072541">
        <w:rPr>
          <w:rFonts w:eastAsia="Malgun Gothic"/>
          <w:i/>
        </w:rPr>
        <w:t xml:space="preserve"> UL-DL configuration selected for LTE-NR coexistence</w:t>
      </w:r>
      <w:r>
        <w:rPr>
          <w:rFonts w:eastAsia="Malgun Gothic"/>
          <w:i/>
        </w:rPr>
        <w:t>.</w:t>
      </w:r>
    </w:p>
    <w:p w:rsidR="008A2337" w:rsidRPr="0057514D" w:rsidRDefault="008A2337" w:rsidP="00D40EF4">
      <w:pPr>
        <w:spacing w:after="0"/>
        <w:ind w:left="1418" w:hanging="1418"/>
        <w:jc w:val="both"/>
        <w:rPr>
          <w:rFonts w:ascii="Arial" w:hAnsi="Arial" w:cs="Arial"/>
          <w:b/>
        </w:rPr>
      </w:pPr>
    </w:p>
    <w:p w:rsidR="00072541" w:rsidRDefault="00446A0B" w:rsidP="00446A0B">
      <w:pPr>
        <w:spacing w:after="0"/>
        <w:jc w:val="both"/>
        <w:rPr>
          <w:b/>
        </w:rPr>
      </w:pPr>
      <w:r w:rsidRPr="00D7777E">
        <w:rPr>
          <w:b/>
        </w:rPr>
        <w:t xml:space="preserve">Proposal: RAN2 is requested to </w:t>
      </w:r>
      <w:r w:rsidR="00072541">
        <w:rPr>
          <w:b/>
        </w:rPr>
        <w:t>consider</w:t>
      </w:r>
      <w:r w:rsidRPr="00D7777E">
        <w:rPr>
          <w:b/>
        </w:rPr>
        <w:t xml:space="preserve"> </w:t>
      </w:r>
      <w:r w:rsidR="00072541">
        <w:rPr>
          <w:b/>
        </w:rPr>
        <w:t xml:space="preserve">the </w:t>
      </w:r>
      <w:r w:rsidRPr="00D7777E">
        <w:rPr>
          <w:b/>
        </w:rPr>
        <w:t xml:space="preserve">co-existence </w:t>
      </w:r>
      <w:r w:rsidR="00072541">
        <w:rPr>
          <w:b/>
        </w:rPr>
        <w:t>of LTE and NR on same carrier and</w:t>
      </w:r>
      <w:r w:rsidRPr="00D7777E">
        <w:rPr>
          <w:b/>
        </w:rPr>
        <w:t xml:space="preserve"> adjacent carrier </w:t>
      </w:r>
      <w:r w:rsidR="00072541">
        <w:rPr>
          <w:b/>
        </w:rPr>
        <w:t>and define the required NR RRC signalling support.</w:t>
      </w:r>
    </w:p>
    <w:p w:rsidR="00072541" w:rsidRDefault="00072541" w:rsidP="00446A0B">
      <w:pPr>
        <w:spacing w:after="0"/>
        <w:jc w:val="both"/>
        <w:rPr>
          <w:b/>
        </w:rPr>
      </w:pPr>
    </w:p>
    <w:p w:rsidR="00D436B4" w:rsidRDefault="00D436B4" w:rsidP="006779BA">
      <w:pPr>
        <w:pStyle w:val="Heading1"/>
      </w:pPr>
      <w:r>
        <w:t>Annex</w:t>
      </w:r>
    </w:p>
    <w:p w:rsidR="007B031A" w:rsidRPr="007B031A" w:rsidRDefault="007B031A" w:rsidP="007B031A">
      <w:pPr>
        <w:rPr>
          <w:rFonts w:eastAsia="MS Mincho"/>
          <w:highlight w:val="green"/>
          <w:lang w:eastAsia="ja-JP"/>
        </w:rPr>
      </w:pPr>
      <w:r w:rsidRPr="007B031A">
        <w:rPr>
          <w:rFonts w:eastAsia="MS Mincho"/>
          <w:highlight w:val="green"/>
          <w:lang w:eastAsia="ja-JP"/>
        </w:rPr>
        <w:t>Agreements from RAN1#88Bis:</w:t>
      </w:r>
    </w:p>
    <w:p w:rsidR="007B031A" w:rsidRPr="007B031A" w:rsidRDefault="007B031A" w:rsidP="007B031A">
      <w:pPr>
        <w:numPr>
          <w:ilvl w:val="0"/>
          <w:numId w:val="15"/>
        </w:numPr>
        <w:overflowPunct/>
        <w:autoSpaceDE/>
        <w:autoSpaceDN/>
        <w:adjustRightInd/>
        <w:spacing w:after="0"/>
        <w:textAlignment w:val="auto"/>
        <w:rPr>
          <w:rFonts w:eastAsia="MS Mincho"/>
          <w:iCs/>
          <w:lang w:eastAsia="ja-JP"/>
        </w:rPr>
      </w:pPr>
      <w:r w:rsidRPr="007B031A">
        <w:rPr>
          <w:rFonts w:eastAsia="MS Mincho"/>
          <w:iCs/>
          <w:lang w:eastAsia="ja-JP"/>
        </w:rPr>
        <w:t xml:space="preserve">NR supports DL transmissions scheduled in LTE DL non-MBSFN </w:t>
      </w:r>
      <w:proofErr w:type="spellStart"/>
      <w:r w:rsidRPr="007B031A">
        <w:rPr>
          <w:rFonts w:eastAsia="MS Mincho"/>
          <w:iCs/>
          <w:lang w:eastAsia="ja-JP"/>
        </w:rPr>
        <w:t>subframes</w:t>
      </w:r>
      <w:proofErr w:type="spellEnd"/>
    </w:p>
    <w:p w:rsidR="007B031A" w:rsidRPr="007B031A" w:rsidRDefault="007B031A" w:rsidP="007B031A">
      <w:pPr>
        <w:numPr>
          <w:ilvl w:val="1"/>
          <w:numId w:val="15"/>
        </w:numPr>
        <w:overflowPunct/>
        <w:autoSpaceDE/>
        <w:autoSpaceDN/>
        <w:adjustRightInd/>
        <w:spacing w:after="0"/>
        <w:textAlignment w:val="auto"/>
        <w:rPr>
          <w:rFonts w:eastAsia="MS Mincho"/>
          <w:iCs/>
          <w:lang w:eastAsia="ja-JP"/>
        </w:rPr>
      </w:pPr>
      <w:r w:rsidRPr="007B031A">
        <w:rPr>
          <w:rFonts w:eastAsia="MS Mincho"/>
          <w:iCs/>
          <w:lang w:eastAsia="ja-JP"/>
        </w:rPr>
        <w:t xml:space="preserve">Mini-slots can be scheduled on OFDM symbols not carrying CRS </w:t>
      </w:r>
    </w:p>
    <w:p w:rsidR="007B031A" w:rsidRPr="007B031A" w:rsidRDefault="007B031A" w:rsidP="007B031A">
      <w:pPr>
        <w:numPr>
          <w:ilvl w:val="1"/>
          <w:numId w:val="15"/>
        </w:numPr>
        <w:overflowPunct/>
        <w:autoSpaceDE/>
        <w:autoSpaceDN/>
        <w:adjustRightInd/>
        <w:spacing w:after="0"/>
        <w:textAlignment w:val="auto"/>
        <w:rPr>
          <w:rFonts w:eastAsia="MS Mincho"/>
          <w:iCs/>
          <w:lang w:eastAsia="ja-JP"/>
        </w:rPr>
      </w:pPr>
      <w:r w:rsidRPr="007B031A">
        <w:rPr>
          <w:rFonts w:eastAsia="MS Mincho"/>
          <w:iCs/>
          <w:lang w:eastAsia="ja-JP"/>
        </w:rPr>
        <w:t xml:space="preserve">It is expected that NR scheduling and at least semi-statically reserved resources for forward compatibility can be used to avoid NR transmissions colliding with other LTE signals/channels (e.g., LTE PBCH/PSS/SSS, SIB1, LTE PDCCH region, etc.) </w:t>
      </w:r>
    </w:p>
    <w:p w:rsidR="00D436B4" w:rsidRDefault="00D436B4" w:rsidP="00D436B4">
      <w:pPr>
        <w:rPr>
          <w:lang w:val="en-US"/>
        </w:rPr>
      </w:pPr>
    </w:p>
    <w:p w:rsidR="00395A45" w:rsidRPr="00395A45" w:rsidRDefault="00395A45" w:rsidP="00395A45">
      <w:pPr>
        <w:rPr>
          <w:rFonts w:eastAsia="MS Mincho"/>
          <w:highlight w:val="green"/>
          <w:lang w:eastAsia="ja-JP"/>
        </w:rPr>
      </w:pPr>
      <w:r w:rsidRPr="007D0342">
        <w:rPr>
          <w:rFonts w:eastAsia="MS Mincho"/>
          <w:highlight w:val="green"/>
          <w:lang w:eastAsia="ja-JP"/>
        </w:rPr>
        <w:t>Agreements</w:t>
      </w:r>
      <w:r w:rsidRPr="00395A45">
        <w:rPr>
          <w:rFonts w:eastAsia="MS Mincho"/>
          <w:highlight w:val="green"/>
          <w:lang w:eastAsia="ja-JP"/>
        </w:rPr>
        <w:t xml:space="preserve"> from RAN1#</w:t>
      </w:r>
      <w:r>
        <w:rPr>
          <w:rFonts w:eastAsia="MS Mincho"/>
          <w:highlight w:val="green"/>
          <w:lang w:eastAsia="ja-JP"/>
        </w:rPr>
        <w:t xml:space="preserve">NR </w:t>
      </w:r>
      <w:r w:rsidRPr="00395A45">
        <w:rPr>
          <w:rFonts w:eastAsia="MS Mincho"/>
          <w:highlight w:val="green"/>
          <w:lang w:eastAsia="ja-JP"/>
        </w:rPr>
        <w:t>Ad-hoc:</w:t>
      </w:r>
    </w:p>
    <w:p w:rsidR="00395A45" w:rsidRPr="00395A45" w:rsidRDefault="00395A45" w:rsidP="00395A45">
      <w:pPr>
        <w:pStyle w:val="ListParagraph"/>
        <w:numPr>
          <w:ilvl w:val="0"/>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LTE-NR co-existence should support the following UL sharing scenarios:</w:t>
      </w:r>
    </w:p>
    <w:p w:rsidR="00395A45" w:rsidRPr="00395A45" w:rsidRDefault="00395A45" w:rsidP="00395A45">
      <w:pPr>
        <w:pStyle w:val="ListParagraph"/>
        <w:numPr>
          <w:ilvl w:val="1"/>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 xml:space="preserve">Collocated LTE and NR base stations with network operating UL on frequency F1 where LTE UL and NR UL share UL </w:t>
      </w:r>
      <w:proofErr w:type="spellStart"/>
      <w:r w:rsidRPr="00395A45">
        <w:rPr>
          <w:rFonts w:ascii="Times New Roman" w:eastAsia="MS Mincho" w:hAnsi="Times New Roman"/>
          <w:sz w:val="20"/>
          <w:szCs w:val="20"/>
        </w:rPr>
        <w:t>subframes</w:t>
      </w:r>
      <w:proofErr w:type="spellEnd"/>
      <w:r w:rsidRPr="00395A45">
        <w:rPr>
          <w:rFonts w:ascii="Times New Roman" w:eastAsia="MS Mincho" w:hAnsi="Times New Roman"/>
          <w:sz w:val="20"/>
          <w:szCs w:val="20"/>
        </w:rPr>
        <w:t xml:space="preserve"> of LTE</w:t>
      </w:r>
    </w:p>
    <w:p w:rsidR="00395A45" w:rsidRPr="00395A45" w:rsidRDefault="00395A45" w:rsidP="00395A45">
      <w:pPr>
        <w:pStyle w:val="ListParagraph"/>
        <w:numPr>
          <w:ilvl w:val="2"/>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 xml:space="preserve">Detailed sharing on the UL is FFS </w:t>
      </w:r>
    </w:p>
    <w:p w:rsidR="00395A45" w:rsidRPr="00395A45" w:rsidRDefault="00395A45" w:rsidP="00395A45">
      <w:pPr>
        <w:pStyle w:val="ListParagraph"/>
        <w:numPr>
          <w:ilvl w:val="3"/>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Note: this is not intended to have impact on legacy LTE UEs</w:t>
      </w:r>
    </w:p>
    <w:p w:rsidR="00395A45" w:rsidRPr="00395A45" w:rsidRDefault="00395A45" w:rsidP="00395A45">
      <w:pPr>
        <w:pStyle w:val="ListParagraph"/>
        <w:numPr>
          <w:ilvl w:val="2"/>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LTE DL on a paired frequency F3</w:t>
      </w:r>
    </w:p>
    <w:p w:rsidR="00395A45" w:rsidRPr="00395A45" w:rsidRDefault="00395A45" w:rsidP="00395A45">
      <w:pPr>
        <w:pStyle w:val="ListParagraph"/>
        <w:numPr>
          <w:ilvl w:val="2"/>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NR DL transmission on frequency F2 (different than LTE DL frequency)</w:t>
      </w:r>
    </w:p>
    <w:p w:rsidR="00395A45" w:rsidRPr="00395A45" w:rsidRDefault="00395A45" w:rsidP="00395A45">
      <w:pPr>
        <w:pStyle w:val="ListParagraph"/>
        <w:numPr>
          <w:ilvl w:val="2"/>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NR UE operates in either of the following cases based on a common NR design:</w:t>
      </w:r>
    </w:p>
    <w:p w:rsidR="00395A45" w:rsidRPr="00395A45" w:rsidRDefault="00395A45" w:rsidP="00395A45">
      <w:pPr>
        <w:pStyle w:val="ListParagraph"/>
        <w:numPr>
          <w:ilvl w:val="3"/>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 xml:space="preserve">Standalone NR: UE accesses standalone NR carrier on F2. The UE may not be connected to an LTE carrier (some UE may not even support LTE). </w:t>
      </w:r>
    </w:p>
    <w:p w:rsidR="00395A45" w:rsidRPr="00395A45" w:rsidRDefault="00395A45" w:rsidP="00395A45">
      <w:pPr>
        <w:pStyle w:val="ListParagraph"/>
        <w:numPr>
          <w:ilvl w:val="4"/>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FFS whether NR UL frequency F1 is signaled in NR broadcast system information or derived from MIB/PBCH, or implicitly from NR DL frequency F2</w:t>
      </w:r>
    </w:p>
    <w:p w:rsidR="00395A45" w:rsidRPr="00395A45" w:rsidRDefault="00395A45" w:rsidP="00395A45">
      <w:pPr>
        <w:pStyle w:val="ListParagraph"/>
        <w:numPr>
          <w:ilvl w:val="3"/>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 xml:space="preserve">Dual connectivity of LTE and NR: UE accesses LTE </w:t>
      </w:r>
      <w:proofErr w:type="spellStart"/>
      <w:r w:rsidRPr="00395A45">
        <w:rPr>
          <w:rFonts w:ascii="Times New Roman" w:eastAsia="MS Mincho" w:hAnsi="Times New Roman"/>
          <w:sz w:val="20"/>
          <w:szCs w:val="20"/>
        </w:rPr>
        <w:t>PCell</w:t>
      </w:r>
      <w:proofErr w:type="spellEnd"/>
      <w:r w:rsidRPr="00395A45">
        <w:rPr>
          <w:rFonts w:ascii="Times New Roman" w:eastAsia="MS Mincho" w:hAnsi="Times New Roman"/>
          <w:sz w:val="20"/>
          <w:szCs w:val="20"/>
        </w:rPr>
        <w:t xml:space="preserve"> (with LTE UL on F1), then is configured by dual connectivity to also operate NR on F1 (UL) and F2 (DL).</w:t>
      </w:r>
    </w:p>
    <w:p w:rsidR="00395A45" w:rsidRPr="00395A45" w:rsidRDefault="00395A45" w:rsidP="00395A45">
      <w:pPr>
        <w:pStyle w:val="ListParagraph"/>
        <w:numPr>
          <w:ilvl w:val="4"/>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NR DL and UL frequencies (and/or NR band number) are signaled by RRC</w:t>
      </w:r>
    </w:p>
    <w:p w:rsidR="00395A45" w:rsidRPr="00395A45" w:rsidRDefault="00395A45" w:rsidP="00395A45">
      <w:pPr>
        <w:pStyle w:val="ListParagraph"/>
        <w:numPr>
          <w:ilvl w:val="1"/>
          <w:numId w:val="11"/>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395A45">
        <w:rPr>
          <w:rFonts w:ascii="Times New Roman" w:eastAsia="MS Mincho" w:hAnsi="Times New Roman"/>
          <w:sz w:val="20"/>
          <w:szCs w:val="20"/>
        </w:rPr>
        <w:t>Non-collocated LTE and NR base stations is FFS</w:t>
      </w:r>
    </w:p>
    <w:p w:rsidR="00395A45" w:rsidRPr="00B625E5" w:rsidRDefault="00395A45" w:rsidP="00395A45">
      <w:pPr>
        <w:rPr>
          <w:lang w:val="en-US"/>
        </w:rPr>
      </w:pPr>
      <w:r w:rsidRPr="00B625E5">
        <w:rPr>
          <w:highlight w:val="green"/>
          <w:lang w:val="en-US"/>
        </w:rPr>
        <w:t>Agreement</w:t>
      </w:r>
      <w:r>
        <w:rPr>
          <w:highlight w:val="green"/>
          <w:lang w:val="en-US"/>
        </w:rPr>
        <w:t>s from RAN1#NR Ad-hoc</w:t>
      </w:r>
      <w:r w:rsidRPr="00B625E5">
        <w:rPr>
          <w:lang w:val="en-US"/>
        </w:rPr>
        <w:t>:</w:t>
      </w:r>
    </w:p>
    <w:p w:rsidR="00395A45" w:rsidRPr="00395A45" w:rsidRDefault="00395A45" w:rsidP="00395A45">
      <w:pPr>
        <w:pStyle w:val="ListParagraph"/>
        <w:numPr>
          <w:ilvl w:val="0"/>
          <w:numId w:val="12"/>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NR supports the case when an NR UE is not expected to understand or detect LTE signals/channels in the frequency band shared by NR and LTE.</w:t>
      </w:r>
    </w:p>
    <w:p w:rsidR="00395A45" w:rsidRPr="00395A45" w:rsidRDefault="00395A45" w:rsidP="00395A45">
      <w:pPr>
        <w:pStyle w:val="ListParagraph"/>
        <w:numPr>
          <w:ilvl w:val="1"/>
          <w:numId w:val="12"/>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Detailed conditions are FFS</w:t>
      </w:r>
    </w:p>
    <w:p w:rsidR="00395A45" w:rsidRPr="00395A45" w:rsidRDefault="00395A45" w:rsidP="00395A45">
      <w:pPr>
        <w:pStyle w:val="ListParagraph"/>
        <w:numPr>
          <w:ilvl w:val="0"/>
          <w:numId w:val="12"/>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lastRenderedPageBreak/>
        <w:t>Initial access procedure design for NR should be used as a baseline for the case of NR-LTE coexisting</w:t>
      </w:r>
    </w:p>
    <w:p w:rsidR="00395A45" w:rsidRPr="00395A45" w:rsidRDefault="00395A45" w:rsidP="00395A45">
      <w:pPr>
        <w:pStyle w:val="ListParagraph"/>
        <w:numPr>
          <w:ilvl w:val="1"/>
          <w:numId w:val="12"/>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FFS whether or not additional impact </w:t>
      </w:r>
    </w:p>
    <w:p w:rsidR="00395A45" w:rsidRPr="009568C4" w:rsidRDefault="00395A45" w:rsidP="00395A45">
      <w:pPr>
        <w:rPr>
          <w:lang w:val="en-US"/>
        </w:rPr>
      </w:pPr>
      <w:r w:rsidRPr="009568C4">
        <w:rPr>
          <w:highlight w:val="green"/>
          <w:lang w:val="en-US"/>
        </w:rPr>
        <w:t>Agreement</w:t>
      </w:r>
      <w:r>
        <w:rPr>
          <w:highlight w:val="green"/>
          <w:lang w:val="en-US"/>
        </w:rPr>
        <w:t>s from RAN1#NR Ad-hoc</w:t>
      </w:r>
      <w:r w:rsidRPr="009568C4">
        <w:rPr>
          <w:lang w:val="en-US"/>
        </w:rPr>
        <w:t>:</w:t>
      </w:r>
    </w:p>
    <w:p w:rsidR="00395A45" w:rsidRPr="00395A45" w:rsidRDefault="00395A45" w:rsidP="00395A45">
      <w:pPr>
        <w:pStyle w:val="ListParagraph"/>
        <w:numPr>
          <w:ilvl w:val="0"/>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NR supports efficient adjacent channel co-existence with LTE-TDD using UL-DL configurations 0,1,2,3,4,5 in unpaired spectrum  </w:t>
      </w:r>
    </w:p>
    <w:p w:rsidR="00395A45" w:rsidRPr="00395A45" w:rsidRDefault="00395A45" w:rsidP="00395A45">
      <w:pPr>
        <w:pStyle w:val="ListParagraph"/>
        <w:numPr>
          <w:ilvl w:val="1"/>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FFS detailed mechanism</w:t>
      </w:r>
    </w:p>
    <w:p w:rsidR="00395A45" w:rsidRPr="00395A45" w:rsidRDefault="00395A45" w:rsidP="00395A45">
      <w:pPr>
        <w:pStyle w:val="ListParagraph"/>
        <w:numPr>
          <w:ilvl w:val="0"/>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NR supports efficient adjacent channel co-existence with LTE-TDD using all the special </w:t>
      </w:r>
      <w:proofErr w:type="spellStart"/>
      <w:r w:rsidRPr="00395A45">
        <w:rPr>
          <w:rFonts w:ascii="Times New Roman" w:hAnsi="Times New Roman"/>
          <w:sz w:val="20"/>
          <w:szCs w:val="20"/>
        </w:rPr>
        <w:t>subframe</w:t>
      </w:r>
      <w:proofErr w:type="spellEnd"/>
      <w:r w:rsidRPr="00395A45">
        <w:rPr>
          <w:rFonts w:ascii="Times New Roman" w:hAnsi="Times New Roman"/>
          <w:sz w:val="20"/>
          <w:szCs w:val="20"/>
        </w:rPr>
        <w:t xml:space="preserve"> configurations in unpaired spectrum</w:t>
      </w:r>
    </w:p>
    <w:p w:rsidR="00395A45" w:rsidRPr="00395A45" w:rsidRDefault="00395A45" w:rsidP="00395A45">
      <w:pPr>
        <w:pStyle w:val="ListParagraph"/>
        <w:numPr>
          <w:ilvl w:val="0"/>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Notes:</w:t>
      </w:r>
    </w:p>
    <w:p w:rsidR="00395A45" w:rsidRPr="00395A45" w:rsidRDefault="00395A45" w:rsidP="00395A45">
      <w:pPr>
        <w:pStyle w:val="ListParagraph"/>
        <w:numPr>
          <w:ilvl w:val="1"/>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The above bullets does not necessarily imply that two or more frame structures are to be defined for NR</w:t>
      </w:r>
    </w:p>
    <w:p w:rsidR="00395A45" w:rsidRPr="00395A45" w:rsidRDefault="00395A45" w:rsidP="00395A45">
      <w:pPr>
        <w:pStyle w:val="ListParagraph"/>
        <w:numPr>
          <w:ilvl w:val="1"/>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The wording “efficient” in the above two bullets does not imply exact alignment of configurations</w:t>
      </w:r>
    </w:p>
    <w:p w:rsidR="00395A45" w:rsidRPr="00395A45" w:rsidRDefault="00395A45" w:rsidP="00395A45">
      <w:pPr>
        <w:pStyle w:val="ListParagraph"/>
        <w:numPr>
          <w:ilvl w:val="1"/>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RAN1 has agreed the following</w:t>
      </w:r>
    </w:p>
    <w:p w:rsidR="00395A45" w:rsidRPr="00395A45" w:rsidRDefault="00395A45" w:rsidP="00395A45">
      <w:pPr>
        <w:pStyle w:val="ListParagraph"/>
        <w:numPr>
          <w:ilvl w:val="2"/>
          <w:numId w:val="14"/>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Design at least one semi-statically assigned DL/UL transmission direction configuration for NR that avoids DL/UL interference with at least one LTE TDD DL/UL configuration and special </w:t>
      </w:r>
      <w:proofErr w:type="spellStart"/>
      <w:r w:rsidRPr="00395A45">
        <w:rPr>
          <w:rFonts w:ascii="Times New Roman" w:hAnsi="Times New Roman"/>
          <w:sz w:val="20"/>
          <w:szCs w:val="20"/>
        </w:rPr>
        <w:t>subframe</w:t>
      </w:r>
      <w:proofErr w:type="spellEnd"/>
      <w:r w:rsidRPr="00395A45">
        <w:rPr>
          <w:rFonts w:ascii="Times New Roman" w:hAnsi="Times New Roman"/>
          <w:sz w:val="20"/>
          <w:szCs w:val="20"/>
        </w:rPr>
        <w:t xml:space="preserve"> configuration</w:t>
      </w:r>
    </w:p>
    <w:p w:rsidR="00395A45" w:rsidRPr="008D5FE3" w:rsidRDefault="00395A45" w:rsidP="00395A45">
      <w:pPr>
        <w:rPr>
          <w:lang w:val="en-US"/>
        </w:rPr>
      </w:pPr>
      <w:r w:rsidRPr="008D5FE3">
        <w:rPr>
          <w:highlight w:val="green"/>
          <w:lang w:val="en-US"/>
        </w:rPr>
        <w:t>Agreement</w:t>
      </w:r>
      <w:r>
        <w:rPr>
          <w:highlight w:val="green"/>
          <w:lang w:val="en-US"/>
        </w:rPr>
        <w:t>s from RAN1#NR Ad-hoc</w:t>
      </w:r>
      <w:r w:rsidRPr="008D5FE3">
        <w:rPr>
          <w:lang w:val="en-US"/>
        </w:rPr>
        <w:t>:</w:t>
      </w:r>
    </w:p>
    <w:p w:rsidR="00395A45" w:rsidRPr="00395A45" w:rsidRDefault="00395A45" w:rsidP="00395A45">
      <w:pPr>
        <w:pStyle w:val="ListParagraph"/>
        <w:numPr>
          <w:ilvl w:val="0"/>
          <w:numId w:val="13"/>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 xml:space="preserve">Supporting NR DL in MBSFN </w:t>
      </w:r>
      <w:proofErr w:type="spellStart"/>
      <w:r w:rsidRPr="00395A45">
        <w:rPr>
          <w:rFonts w:ascii="Times New Roman" w:hAnsi="Times New Roman"/>
          <w:sz w:val="20"/>
          <w:szCs w:val="20"/>
        </w:rPr>
        <w:t>subframes</w:t>
      </w:r>
      <w:proofErr w:type="spellEnd"/>
      <w:r w:rsidRPr="00395A45">
        <w:rPr>
          <w:rFonts w:ascii="Times New Roman" w:hAnsi="Times New Roman"/>
          <w:sz w:val="20"/>
          <w:szCs w:val="20"/>
        </w:rPr>
        <w:t xml:space="preserve"> of LTE</w:t>
      </w:r>
    </w:p>
    <w:p w:rsidR="00395A45" w:rsidRPr="00395A45" w:rsidRDefault="00395A45" w:rsidP="00395A45">
      <w:pPr>
        <w:pStyle w:val="ListParagraph"/>
        <w:numPr>
          <w:ilvl w:val="1"/>
          <w:numId w:val="13"/>
        </w:numPr>
        <w:overflowPunct w:val="0"/>
        <w:autoSpaceDE w:val="0"/>
        <w:autoSpaceDN w:val="0"/>
        <w:snapToGrid/>
        <w:spacing w:after="180"/>
        <w:ind w:firstLineChars="0"/>
        <w:contextualSpacing/>
        <w:textAlignment w:val="baseline"/>
        <w:rPr>
          <w:rFonts w:ascii="Times New Roman" w:hAnsi="Times New Roman"/>
          <w:sz w:val="20"/>
          <w:szCs w:val="20"/>
        </w:rPr>
      </w:pPr>
      <w:r w:rsidRPr="00395A45">
        <w:rPr>
          <w:rFonts w:ascii="Times New Roman" w:hAnsi="Times New Roman"/>
          <w:sz w:val="20"/>
          <w:szCs w:val="20"/>
        </w:rPr>
        <w:t>FFS details</w:t>
      </w:r>
    </w:p>
    <w:p w:rsidR="00246C3B" w:rsidRPr="0057081A" w:rsidRDefault="00246C3B" w:rsidP="00246C3B">
      <w:pPr>
        <w:rPr>
          <w:rFonts w:eastAsia="MS Mincho"/>
          <w:lang w:val="en-US" w:eastAsia="ja-JP"/>
        </w:rPr>
      </w:pPr>
      <w:r w:rsidRPr="0057081A">
        <w:rPr>
          <w:rFonts w:eastAsia="MS Mincho" w:hint="eastAsia"/>
          <w:highlight w:val="green"/>
          <w:lang w:val="en-US" w:eastAsia="ja-JP"/>
        </w:rPr>
        <w:t>Agreements</w:t>
      </w:r>
      <w:r>
        <w:rPr>
          <w:rFonts w:eastAsia="MS Mincho"/>
          <w:highlight w:val="green"/>
          <w:lang w:val="en-US" w:eastAsia="ja-JP"/>
        </w:rPr>
        <w:t xml:space="preserve"> from RAN1#87</w:t>
      </w:r>
      <w:r w:rsidRPr="0057081A">
        <w:rPr>
          <w:rFonts w:eastAsia="MS Mincho" w:hint="eastAsia"/>
          <w:highlight w:val="green"/>
          <w:lang w:val="en-US" w:eastAsia="ja-JP"/>
        </w:rPr>
        <w:t>:</w:t>
      </w:r>
    </w:p>
    <w:p w:rsidR="00246C3B" w:rsidRPr="00D436B4" w:rsidRDefault="00246C3B" w:rsidP="00246C3B">
      <w:pPr>
        <w:pStyle w:val="ListParagraph"/>
        <w:numPr>
          <w:ilvl w:val="0"/>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For LTE and NR coexistence,</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In NR design, consider support of flexible starting point and duration of scheduled resources as a tool to avoid for example the control region of MBSFN </w:t>
      </w:r>
      <w:proofErr w:type="spellStart"/>
      <w:r w:rsidRPr="00D436B4">
        <w:rPr>
          <w:rFonts w:ascii="Times New Roman" w:eastAsia="MS Mincho" w:hAnsi="Times New Roman"/>
          <w:sz w:val="20"/>
          <w:szCs w:val="20"/>
        </w:rPr>
        <w:t>subframes</w:t>
      </w:r>
      <w:proofErr w:type="spellEnd"/>
      <w:r w:rsidRPr="00D436B4">
        <w:rPr>
          <w:rFonts w:ascii="Times New Roman" w:eastAsia="MS Mincho" w:hAnsi="Times New Roman"/>
          <w:sz w:val="20"/>
          <w:szCs w:val="20"/>
        </w:rPr>
        <w:t xml:space="preserve"> and be able to use resources in the unused MBSFN </w:t>
      </w:r>
      <w:proofErr w:type="spellStart"/>
      <w:r w:rsidRPr="00D436B4">
        <w:rPr>
          <w:rFonts w:ascii="Times New Roman" w:eastAsia="MS Mincho" w:hAnsi="Times New Roman"/>
          <w:sz w:val="20"/>
          <w:szCs w:val="20"/>
        </w:rPr>
        <w:t>subframes</w:t>
      </w:r>
      <w:proofErr w:type="spellEnd"/>
      <w:r w:rsidRPr="00D436B4">
        <w:rPr>
          <w:rFonts w:ascii="Times New Roman" w:eastAsia="MS Mincho" w:hAnsi="Times New Roman"/>
          <w:sz w:val="20"/>
          <w:szCs w:val="20"/>
        </w:rPr>
        <w:t xml:space="preserve"> of an LTE carrier</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Note: those mechanisms may be reused from forward compatibility mechanisms</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use of mini-slot</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Dynamically or semi-statically varying starting point and duration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NR design supports adapting the bandwidth occupied by NR carrier(s) at least as fast as LTE carrier aggregation schemes</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Detailed design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FFS: Allowing NR transmissions while avoiding OFDM symbols carrying CRS on a DL LTE </w:t>
      </w:r>
      <w:proofErr w:type="spellStart"/>
      <w:r w:rsidRPr="00D436B4">
        <w:rPr>
          <w:rFonts w:ascii="Times New Roman" w:eastAsia="MS Mincho" w:hAnsi="Times New Roman"/>
          <w:sz w:val="20"/>
          <w:szCs w:val="20"/>
        </w:rPr>
        <w:t>subframe</w:t>
      </w:r>
      <w:proofErr w:type="spellEnd"/>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Further discussion needed on how to handle </w:t>
      </w:r>
      <w:proofErr w:type="spellStart"/>
      <w:r w:rsidRPr="00D436B4">
        <w:rPr>
          <w:rFonts w:ascii="Times New Roman" w:eastAsia="MS Mincho" w:hAnsi="Times New Roman"/>
          <w:sz w:val="20"/>
          <w:szCs w:val="20"/>
        </w:rPr>
        <w:t>sTTI</w:t>
      </w:r>
      <w:proofErr w:type="spellEnd"/>
      <w:r w:rsidRPr="00D436B4">
        <w:rPr>
          <w:rFonts w:ascii="Times New Roman" w:eastAsia="MS Mincho" w:hAnsi="Times New Roman"/>
          <w:sz w:val="20"/>
          <w:szCs w:val="20"/>
        </w:rPr>
        <w:t xml:space="preserve"> transmissions of LTE</w:t>
      </w:r>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Note: those mechanisms may be reused from forward compatibility mechanisms, or mechanisms for multiplexing </w:t>
      </w:r>
      <w:proofErr w:type="spellStart"/>
      <w:r w:rsidRPr="00D436B4">
        <w:rPr>
          <w:rFonts w:ascii="Times New Roman" w:eastAsia="MS Mincho" w:hAnsi="Times New Roman"/>
          <w:sz w:val="20"/>
          <w:szCs w:val="20"/>
        </w:rPr>
        <w:t>eMBB</w:t>
      </w:r>
      <w:proofErr w:type="spellEnd"/>
      <w:r w:rsidRPr="00D436B4">
        <w:rPr>
          <w:rFonts w:ascii="Times New Roman" w:eastAsia="MS Mincho" w:hAnsi="Times New Roman"/>
          <w:sz w:val="20"/>
          <w:szCs w:val="20"/>
        </w:rPr>
        <w:t xml:space="preserve"> and URLLC on the DL, or mini-slot</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Allowing NR transmissions while avoiding OFDM symbols carrying SRS on an UL LTE </w:t>
      </w:r>
      <w:proofErr w:type="spellStart"/>
      <w:r w:rsidRPr="00D436B4">
        <w:rPr>
          <w:rFonts w:ascii="Times New Roman" w:eastAsia="MS Mincho" w:hAnsi="Times New Roman"/>
          <w:sz w:val="20"/>
          <w:szCs w:val="20"/>
        </w:rPr>
        <w:t>subframe</w:t>
      </w:r>
      <w:proofErr w:type="spellEnd"/>
    </w:p>
    <w:p w:rsidR="00246C3B" w:rsidRPr="00D436B4" w:rsidRDefault="00246C3B" w:rsidP="00246C3B">
      <w:pPr>
        <w:pStyle w:val="ListParagraph"/>
        <w:numPr>
          <w:ilvl w:val="2"/>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Further discussion needed on how to handle </w:t>
      </w:r>
      <w:proofErr w:type="spellStart"/>
      <w:r w:rsidRPr="00D436B4">
        <w:rPr>
          <w:rFonts w:ascii="Times New Roman" w:eastAsia="MS Mincho" w:hAnsi="Times New Roman"/>
          <w:sz w:val="20"/>
          <w:szCs w:val="20"/>
        </w:rPr>
        <w:t>sTTI</w:t>
      </w:r>
      <w:proofErr w:type="spellEnd"/>
      <w:r w:rsidRPr="00D436B4">
        <w:rPr>
          <w:rFonts w:ascii="Times New Roman" w:eastAsia="MS Mincho" w:hAnsi="Times New Roman"/>
          <w:sz w:val="20"/>
          <w:szCs w:val="20"/>
        </w:rPr>
        <w:t xml:space="preserve"> transmissions of LTE</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PRB-level resource allocation can be used as a tool to avoid for example PSS/SSS, PBCH, EPDCCH, PUCCH, PRACH, as well as PRB-level scheduled LTE PDSCH and LTE PUSCH, of an LTE carrier</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Mapping NR signals and channels around the LTE CRS patterns</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Note: those mechanisms may be reused from forward compatibility mechanisms</w:t>
      </w:r>
    </w:p>
    <w:p w:rsidR="00246C3B" w:rsidRPr="0057081A" w:rsidRDefault="00246C3B" w:rsidP="00246C3B">
      <w:pPr>
        <w:rPr>
          <w:rFonts w:eastAsia="MS Mincho"/>
          <w:lang w:val="en-US" w:eastAsia="ja-JP"/>
        </w:rPr>
      </w:pPr>
    </w:p>
    <w:p w:rsidR="00246C3B" w:rsidRPr="0057081A" w:rsidRDefault="00246C3B" w:rsidP="00246C3B">
      <w:pPr>
        <w:rPr>
          <w:rFonts w:eastAsia="MS Mincho"/>
          <w:u w:val="single"/>
          <w:lang w:val="en-US" w:eastAsia="ja-JP"/>
        </w:rPr>
      </w:pPr>
      <w:r w:rsidRPr="0057081A">
        <w:rPr>
          <w:rFonts w:eastAsia="MS Mincho" w:hint="eastAsia"/>
          <w:u w:val="single"/>
          <w:lang w:val="en-US" w:eastAsia="ja-JP"/>
        </w:rPr>
        <w:t>Possible agreements:</w:t>
      </w:r>
    </w:p>
    <w:p w:rsidR="00246C3B" w:rsidRPr="00A157EF" w:rsidRDefault="00246C3B" w:rsidP="00246C3B">
      <w:pPr>
        <w:numPr>
          <w:ilvl w:val="0"/>
          <w:numId w:val="9"/>
        </w:numPr>
        <w:overflowPunct/>
        <w:autoSpaceDE/>
        <w:autoSpaceDN/>
        <w:adjustRightInd/>
        <w:spacing w:after="0"/>
        <w:textAlignment w:val="auto"/>
        <w:rPr>
          <w:rFonts w:eastAsia="MS Mincho"/>
          <w:lang w:val="en-US" w:eastAsia="ja-JP"/>
        </w:rPr>
      </w:pPr>
      <w:r w:rsidRPr="00A157EF">
        <w:rPr>
          <w:rFonts w:eastAsia="MS Mincho"/>
          <w:lang w:val="en-US" w:eastAsia="ja-JP"/>
        </w:rPr>
        <w:t>NR should support a mechanism to avoid collision between DL and UL transmissions between NR and LTE</w:t>
      </w:r>
    </w:p>
    <w:p w:rsidR="00246C3B" w:rsidRPr="00A157EF" w:rsidRDefault="00246C3B" w:rsidP="00246C3B">
      <w:pPr>
        <w:numPr>
          <w:ilvl w:val="1"/>
          <w:numId w:val="9"/>
        </w:numPr>
        <w:overflowPunct/>
        <w:autoSpaceDE/>
        <w:autoSpaceDN/>
        <w:adjustRightInd/>
        <w:spacing w:after="0"/>
        <w:textAlignment w:val="auto"/>
        <w:rPr>
          <w:rFonts w:eastAsia="MS Mincho"/>
          <w:lang w:val="en-US" w:eastAsia="ja-JP"/>
        </w:rPr>
      </w:pPr>
      <w:r w:rsidRPr="00A157EF">
        <w:rPr>
          <w:rFonts w:eastAsia="MS Mincho"/>
          <w:lang w:val="en-US" w:eastAsia="ja-JP"/>
        </w:rPr>
        <w:t xml:space="preserve">Design at least one semi-statically assigned DL/UL transmission direction for NR that avoids DL/UL interference with at least one LTE DL/UL </w:t>
      </w:r>
      <w:proofErr w:type="spellStart"/>
      <w:r w:rsidRPr="00A157EF">
        <w:rPr>
          <w:rFonts w:eastAsia="MS Mincho"/>
          <w:lang w:val="en-US" w:eastAsia="ja-JP"/>
        </w:rPr>
        <w:t>subframe</w:t>
      </w:r>
      <w:proofErr w:type="spellEnd"/>
      <w:r w:rsidRPr="00A157EF">
        <w:rPr>
          <w:rFonts w:eastAsia="MS Mincho"/>
          <w:lang w:val="en-US" w:eastAsia="ja-JP"/>
        </w:rPr>
        <w:t xml:space="preserve"> configuration</w:t>
      </w:r>
    </w:p>
    <w:p w:rsidR="00246C3B" w:rsidRDefault="00246C3B" w:rsidP="00246C3B"/>
    <w:p w:rsidR="00246C3B" w:rsidRPr="0057081A" w:rsidRDefault="00246C3B" w:rsidP="00246C3B">
      <w:pPr>
        <w:rPr>
          <w:rFonts w:eastAsia="MS Mincho"/>
          <w:lang w:val="en-US" w:eastAsia="ja-JP"/>
        </w:rPr>
      </w:pPr>
      <w:r w:rsidRPr="0057081A">
        <w:rPr>
          <w:rFonts w:eastAsia="MS Mincho" w:hint="eastAsia"/>
          <w:highlight w:val="green"/>
          <w:lang w:val="en-US" w:eastAsia="ja-JP"/>
        </w:rPr>
        <w:t>Agreements</w:t>
      </w:r>
      <w:r>
        <w:rPr>
          <w:rFonts w:eastAsia="MS Mincho"/>
          <w:highlight w:val="green"/>
          <w:lang w:val="en-US" w:eastAsia="ja-JP"/>
        </w:rPr>
        <w:t xml:space="preserve"> from RAN1#87</w:t>
      </w:r>
      <w:r w:rsidRPr="0057081A">
        <w:rPr>
          <w:rFonts w:eastAsia="MS Mincho" w:hint="eastAsia"/>
          <w:highlight w:val="green"/>
          <w:lang w:val="en-US" w:eastAsia="ja-JP"/>
        </w:rPr>
        <w:t>:</w:t>
      </w:r>
    </w:p>
    <w:p w:rsidR="00246C3B" w:rsidRPr="00D436B4" w:rsidRDefault="00246C3B" w:rsidP="00246C3B">
      <w:pPr>
        <w:pStyle w:val="ListParagraph"/>
        <w:numPr>
          <w:ilvl w:val="0"/>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lastRenderedPageBreak/>
        <w:t>For adjacent channel/band operation of NR and LTE in the unpaired spectrum</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 xml:space="preserve">Design at least one semi-statically assigned DL/UL transmission direction configuration for NR that avoids DL/UL interference with at least one LTE TDD DL/UL configuration and special </w:t>
      </w:r>
      <w:proofErr w:type="spellStart"/>
      <w:r w:rsidRPr="00D436B4">
        <w:rPr>
          <w:rFonts w:ascii="Times New Roman" w:eastAsia="MS Mincho" w:hAnsi="Times New Roman"/>
          <w:sz w:val="20"/>
          <w:szCs w:val="20"/>
        </w:rPr>
        <w:t>subframe</w:t>
      </w:r>
      <w:proofErr w:type="spellEnd"/>
      <w:r w:rsidRPr="00D436B4">
        <w:rPr>
          <w:rFonts w:ascii="Times New Roman" w:eastAsia="MS Mincho" w:hAnsi="Times New Roman"/>
          <w:sz w:val="20"/>
          <w:szCs w:val="20"/>
        </w:rPr>
        <w:t xml:space="preserve"> configuration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This does not preclude at most one semi-statically DL/UL transmission direction configuration in NR specification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Note: DL/UL interference also can be avoided by using dynamically assigned DL/UL transmission direction in some cases</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Backhaul signaling between NR and LTE for interference coordination</w:t>
      </w:r>
    </w:p>
    <w:p w:rsidR="00246C3B" w:rsidRPr="00D436B4" w:rsidRDefault="00246C3B" w:rsidP="00246C3B">
      <w:pPr>
        <w:pStyle w:val="ListParagraph"/>
        <w:numPr>
          <w:ilvl w:val="1"/>
          <w:numId w:val="10"/>
        </w:numPr>
        <w:overflowPunct w:val="0"/>
        <w:autoSpaceDE w:val="0"/>
        <w:autoSpaceDN w:val="0"/>
        <w:snapToGrid/>
        <w:spacing w:after="180"/>
        <w:ind w:firstLineChars="0"/>
        <w:contextualSpacing/>
        <w:textAlignment w:val="baseline"/>
        <w:rPr>
          <w:rFonts w:ascii="Times New Roman" w:eastAsia="MS Mincho" w:hAnsi="Times New Roman"/>
          <w:sz w:val="20"/>
          <w:szCs w:val="20"/>
        </w:rPr>
      </w:pPr>
      <w:r w:rsidRPr="00D436B4">
        <w:rPr>
          <w:rFonts w:ascii="Times New Roman" w:eastAsia="MS Mincho" w:hAnsi="Times New Roman"/>
          <w:sz w:val="20"/>
          <w:szCs w:val="20"/>
        </w:rPr>
        <w:t>FFS: Other mechanisms</w:t>
      </w:r>
    </w:p>
    <w:p w:rsidR="00246C3B" w:rsidRPr="00D436B4" w:rsidRDefault="00246C3B" w:rsidP="00246C3B">
      <w:pPr>
        <w:numPr>
          <w:ilvl w:val="0"/>
          <w:numId w:val="10"/>
        </w:numPr>
        <w:overflowPunct/>
        <w:autoSpaceDE/>
        <w:autoSpaceDN/>
        <w:adjustRightInd/>
        <w:spacing w:after="0"/>
        <w:textAlignment w:val="auto"/>
        <w:rPr>
          <w:rFonts w:eastAsia="MS Mincho"/>
          <w:lang w:val="en-US" w:eastAsia="ja-JP"/>
        </w:rPr>
      </w:pPr>
      <w:r w:rsidRPr="00D436B4">
        <w:rPr>
          <w:rFonts w:eastAsia="MS Mincho"/>
          <w:lang w:val="en-US" w:eastAsia="ja-JP"/>
        </w:rPr>
        <w:t>Note that the above agreements do not imply that UE has to support simultaneous connection of NR and LTE in the same or overlapping carrier</w:t>
      </w:r>
    </w:p>
    <w:p w:rsidR="00246C3B" w:rsidRPr="00D436B4" w:rsidRDefault="00246C3B" w:rsidP="00246C3B">
      <w:pPr>
        <w:numPr>
          <w:ilvl w:val="0"/>
          <w:numId w:val="10"/>
        </w:numPr>
        <w:overflowPunct/>
        <w:autoSpaceDE/>
        <w:autoSpaceDN/>
        <w:adjustRightInd/>
        <w:spacing w:after="0"/>
        <w:textAlignment w:val="auto"/>
        <w:rPr>
          <w:rFonts w:eastAsia="MS Mincho"/>
          <w:lang w:val="en-US" w:eastAsia="ja-JP"/>
        </w:rPr>
      </w:pPr>
      <w:r w:rsidRPr="00D436B4">
        <w:rPr>
          <w:rFonts w:eastAsia="MS Mincho"/>
          <w:lang w:val="en-US" w:eastAsia="ja-JP"/>
        </w:rPr>
        <w:t xml:space="preserve">Note: that above mechanisms may be reused from forward compatibility mechanisms, or mechanisms for multiplexing </w:t>
      </w:r>
      <w:proofErr w:type="spellStart"/>
      <w:r w:rsidRPr="00D436B4">
        <w:rPr>
          <w:rFonts w:eastAsia="MS Mincho"/>
          <w:lang w:val="en-US" w:eastAsia="ja-JP"/>
        </w:rPr>
        <w:t>eMBB</w:t>
      </w:r>
      <w:proofErr w:type="spellEnd"/>
      <w:r w:rsidRPr="00D436B4">
        <w:rPr>
          <w:rFonts w:eastAsia="MS Mincho"/>
          <w:lang w:val="en-US" w:eastAsia="ja-JP"/>
        </w:rPr>
        <w:t xml:space="preserve"> and URLLC on the DL, or mini-slot</w:t>
      </w:r>
    </w:p>
    <w:p w:rsidR="00395A45" w:rsidRPr="00A675BE" w:rsidRDefault="00395A45" w:rsidP="00395A45">
      <w:pPr>
        <w:rPr>
          <w:rFonts w:eastAsia="MS Mincho"/>
          <w:b/>
          <w:lang w:eastAsia="ja-JP"/>
        </w:rPr>
      </w:pPr>
    </w:p>
    <w:p w:rsidR="00246C3B" w:rsidRPr="00857EFA" w:rsidRDefault="00246C3B" w:rsidP="00246C3B">
      <w:pPr>
        <w:rPr>
          <w:lang w:eastAsia="ja-JP"/>
        </w:rPr>
      </w:pPr>
      <w:r w:rsidRPr="00857EFA">
        <w:rPr>
          <w:highlight w:val="green"/>
          <w:lang w:eastAsia="ja-JP"/>
        </w:rPr>
        <w:t>Agreements</w:t>
      </w:r>
      <w:r>
        <w:rPr>
          <w:highlight w:val="green"/>
          <w:lang w:eastAsia="ja-JP"/>
        </w:rPr>
        <w:t xml:space="preserve"> from RAN1#86Bis</w:t>
      </w:r>
      <w:r w:rsidRPr="00857EFA">
        <w:rPr>
          <w:highlight w:val="green"/>
          <w:lang w:eastAsia="ja-JP"/>
        </w:rPr>
        <w:t>:</w:t>
      </w:r>
    </w:p>
    <w:p w:rsidR="00246C3B" w:rsidRPr="00857EFA" w:rsidRDefault="00246C3B" w:rsidP="00246C3B">
      <w:pPr>
        <w:numPr>
          <w:ilvl w:val="0"/>
          <w:numId w:val="6"/>
        </w:numPr>
        <w:overflowPunct/>
        <w:autoSpaceDE/>
        <w:autoSpaceDN/>
        <w:adjustRightInd/>
        <w:spacing w:after="0"/>
        <w:textAlignment w:val="auto"/>
        <w:rPr>
          <w:lang w:eastAsia="ja-JP"/>
        </w:rPr>
      </w:pPr>
      <w:r w:rsidRPr="00857EFA">
        <w:rPr>
          <w:lang w:eastAsia="ja-JP"/>
        </w:rPr>
        <w:t>To support the efficient coexistence between NR and LTE operating in the same licensed frequency band,</w:t>
      </w:r>
    </w:p>
    <w:p w:rsidR="00246C3B" w:rsidRPr="00857EFA" w:rsidRDefault="00246C3B" w:rsidP="00246C3B">
      <w:pPr>
        <w:numPr>
          <w:ilvl w:val="1"/>
          <w:numId w:val="6"/>
        </w:numPr>
        <w:overflowPunct/>
        <w:autoSpaceDE/>
        <w:autoSpaceDN/>
        <w:adjustRightInd/>
        <w:spacing w:after="0"/>
        <w:textAlignment w:val="auto"/>
        <w:rPr>
          <w:lang w:eastAsia="ja-JP"/>
        </w:rPr>
      </w:pPr>
      <w:r w:rsidRPr="00857EFA">
        <w:rPr>
          <w:lang w:eastAsia="ja-JP"/>
        </w:rPr>
        <w:t>At least legacy LTE features should be considered in the NR study, e.g.:</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MBSFN configuration (for LTE Rel-8 and beyond)</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(for LTE Rel-8 and beyond)</w:t>
      </w:r>
    </w:p>
    <w:p w:rsidR="00246C3B" w:rsidRPr="00857EFA" w:rsidRDefault="00246C3B" w:rsidP="00246C3B">
      <w:pPr>
        <w:numPr>
          <w:ilvl w:val="2"/>
          <w:numId w:val="6"/>
        </w:numPr>
        <w:overflowPunct/>
        <w:autoSpaceDE/>
        <w:autoSpaceDN/>
        <w:adjustRightInd/>
        <w:spacing w:after="0"/>
        <w:textAlignment w:val="auto"/>
        <w:rPr>
          <w:lang w:eastAsia="ja-JP"/>
        </w:rPr>
      </w:pPr>
      <w:proofErr w:type="spellStart"/>
      <w:r w:rsidRPr="00857EFA">
        <w:rPr>
          <w:lang w:eastAsia="ja-JP"/>
        </w:rPr>
        <w:t>SCell</w:t>
      </w:r>
      <w:proofErr w:type="spellEnd"/>
      <w:r w:rsidRPr="00857EFA">
        <w:rPr>
          <w:lang w:eastAsia="ja-JP"/>
        </w:rPr>
        <w:t xml:space="preserve"> activation/deactivation (for LTE Rel-10 and beyond)</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configured by </w:t>
      </w:r>
      <w:proofErr w:type="spellStart"/>
      <w:r w:rsidRPr="00857EFA">
        <w:rPr>
          <w:lang w:eastAsia="ja-JP"/>
        </w:rPr>
        <w:t>eIMTA</w:t>
      </w:r>
      <w:proofErr w:type="spellEnd"/>
      <w:r w:rsidRPr="00857EFA">
        <w:rPr>
          <w:lang w:eastAsia="ja-JP"/>
        </w:rPr>
        <w:t xml:space="preserve"> feature (for LTE Rel-12 and beyond)</w:t>
      </w:r>
    </w:p>
    <w:p w:rsidR="00246C3B" w:rsidRPr="00857EFA" w:rsidRDefault="00246C3B" w:rsidP="00246C3B">
      <w:pPr>
        <w:numPr>
          <w:ilvl w:val="1"/>
          <w:numId w:val="6"/>
        </w:numPr>
        <w:overflowPunct/>
        <w:autoSpaceDE/>
        <w:autoSpaceDN/>
        <w:adjustRightInd/>
        <w:spacing w:after="0"/>
        <w:textAlignment w:val="auto"/>
        <w:rPr>
          <w:lang w:eastAsia="ja-JP"/>
        </w:rPr>
      </w:pPr>
      <w:r w:rsidRPr="00857EFA">
        <w:rPr>
          <w:lang w:eastAsia="ja-JP"/>
        </w:rPr>
        <w:t>NR should study the following candidate mechanisms for coexistence:</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Resource indication (e.g., blank resources, available resources, etc.) of time/frequency resources</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Reconfiguring channel bandwidth/carriers monitored by UEs</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Any other mechanisms are not precluded.</w:t>
      </w:r>
    </w:p>
    <w:p w:rsidR="00246C3B" w:rsidRPr="00857EFA" w:rsidRDefault="00246C3B" w:rsidP="00246C3B">
      <w:pPr>
        <w:numPr>
          <w:ilvl w:val="1"/>
          <w:numId w:val="6"/>
        </w:numPr>
        <w:overflowPunct/>
        <w:autoSpaceDE/>
        <w:autoSpaceDN/>
        <w:adjustRightInd/>
        <w:spacing w:after="0"/>
        <w:textAlignment w:val="auto"/>
        <w:rPr>
          <w:lang w:eastAsia="ja-JP"/>
        </w:rPr>
      </w:pPr>
      <w:r w:rsidRPr="00857EFA">
        <w:rPr>
          <w:lang w:eastAsia="ja-JP"/>
        </w:rPr>
        <w:t xml:space="preserve">For </w:t>
      </w:r>
      <w:proofErr w:type="spellStart"/>
      <w:r w:rsidRPr="00857EFA">
        <w:rPr>
          <w:lang w:eastAsia="ja-JP"/>
        </w:rPr>
        <w:t>non co-</w:t>
      </w:r>
      <w:proofErr w:type="spellEnd"/>
      <w:r w:rsidRPr="00857EFA">
        <w:rPr>
          <w:lang w:eastAsia="ja-JP"/>
        </w:rPr>
        <w:t xml:space="preserve">located LTE/NR case, backhaul </w:t>
      </w:r>
      <w:proofErr w:type="spellStart"/>
      <w:r w:rsidRPr="00857EFA">
        <w:rPr>
          <w:lang w:eastAsia="ja-JP"/>
        </w:rPr>
        <w:t>signaling</w:t>
      </w:r>
      <w:proofErr w:type="spellEnd"/>
      <w:r w:rsidRPr="00857EFA">
        <w:rPr>
          <w:lang w:eastAsia="ja-JP"/>
        </w:rPr>
        <w:t xml:space="preserve"> between LTE and NR can be studied to mitigate inter-cell interference.</w:t>
      </w:r>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 xml:space="preserve">FFS on which information can be conveyed on the backhaul </w:t>
      </w:r>
      <w:proofErr w:type="spellStart"/>
      <w:r w:rsidRPr="00857EFA">
        <w:rPr>
          <w:lang w:eastAsia="ja-JP"/>
        </w:rPr>
        <w:t>signaling</w:t>
      </w:r>
      <w:proofErr w:type="spellEnd"/>
    </w:p>
    <w:p w:rsidR="00246C3B" w:rsidRPr="00857EFA" w:rsidRDefault="00246C3B" w:rsidP="00246C3B">
      <w:pPr>
        <w:numPr>
          <w:ilvl w:val="2"/>
          <w:numId w:val="6"/>
        </w:numPr>
        <w:overflowPunct/>
        <w:autoSpaceDE/>
        <w:autoSpaceDN/>
        <w:adjustRightInd/>
        <w:spacing w:after="0"/>
        <w:textAlignment w:val="auto"/>
        <w:rPr>
          <w:lang w:eastAsia="ja-JP"/>
        </w:rPr>
      </w:pPr>
      <w:r w:rsidRPr="00857EFA">
        <w:rPr>
          <w:lang w:eastAsia="ja-JP"/>
        </w:rPr>
        <w:t xml:space="preserve">Over-the-air listening at the </w:t>
      </w:r>
      <w:proofErr w:type="spellStart"/>
      <w:r w:rsidRPr="00857EFA">
        <w:rPr>
          <w:lang w:eastAsia="ja-JP"/>
        </w:rPr>
        <w:t>gNB</w:t>
      </w:r>
      <w:proofErr w:type="spellEnd"/>
      <w:r w:rsidRPr="00857EFA">
        <w:rPr>
          <w:lang w:eastAsia="ja-JP"/>
        </w:rPr>
        <w:t xml:space="preserve"> can also be considered</w:t>
      </w:r>
    </w:p>
    <w:p w:rsidR="00395A45" w:rsidRPr="00D436B4" w:rsidRDefault="00246C3B" w:rsidP="00D436B4">
      <w:pPr>
        <w:rPr>
          <w:lang w:val="en-US"/>
        </w:rPr>
      </w:pPr>
      <w:r w:rsidRPr="00857EFA">
        <w:rPr>
          <w:lang w:eastAsia="ja-JP"/>
        </w:rPr>
        <w:t>Note: Dynamic switch between NR and LTE can be studied from the perspective of network for co-located LTE/NR case.</w:t>
      </w:r>
    </w:p>
    <w:p w:rsidR="006779BA" w:rsidRDefault="006779BA" w:rsidP="006779BA">
      <w:pPr>
        <w:pStyle w:val="Heading1"/>
      </w:pPr>
      <w:r>
        <w:t>References</w:t>
      </w:r>
    </w:p>
    <w:p w:rsidR="006779BA" w:rsidRDefault="006779BA" w:rsidP="006779BA">
      <w:pPr>
        <w:rPr>
          <w:lang w:val="en-US"/>
        </w:rPr>
      </w:pPr>
      <w:r>
        <w:rPr>
          <w:lang w:val="en-US"/>
        </w:rPr>
        <w:t xml:space="preserve">[1] </w:t>
      </w:r>
      <w:r w:rsidR="000829BB" w:rsidRPr="000829BB">
        <w:rPr>
          <w:lang w:val="en-US"/>
        </w:rPr>
        <w:t>RP-16</w:t>
      </w:r>
      <w:r w:rsidR="00482E60">
        <w:rPr>
          <w:lang w:val="en-US"/>
        </w:rPr>
        <w:t>1927</w:t>
      </w:r>
      <w:r>
        <w:rPr>
          <w:lang w:val="en-US"/>
        </w:rPr>
        <w:t xml:space="preserve">, </w:t>
      </w:r>
      <w:r w:rsidR="00482E60" w:rsidRPr="00482E60">
        <w:rPr>
          <w:lang w:val="en-US"/>
        </w:rPr>
        <w:t>3GPP TR 38.913 V0.4.0 1 (2016-0609)</w:t>
      </w:r>
      <w:r w:rsidR="000829BB" w:rsidRPr="000829BB">
        <w:rPr>
          <w:lang w:val="en-US"/>
        </w:rPr>
        <w:t>.</w:t>
      </w:r>
    </w:p>
    <w:p w:rsidR="007F1C7D" w:rsidRDefault="007F1C7D" w:rsidP="006779BA">
      <w:pPr>
        <w:rPr>
          <w:lang w:val="en-US"/>
        </w:rPr>
      </w:pPr>
      <w:r>
        <w:rPr>
          <w:lang w:val="en-US"/>
        </w:rPr>
        <w:t>[2] R1-1</w:t>
      </w:r>
      <w:r w:rsidR="00072541">
        <w:rPr>
          <w:lang w:val="en-US"/>
        </w:rPr>
        <w:t>7</w:t>
      </w:r>
      <w:r>
        <w:rPr>
          <w:lang w:val="en-US"/>
        </w:rPr>
        <w:t>xxxx</w:t>
      </w:r>
      <w:r w:rsidR="00072541">
        <w:rPr>
          <w:lang w:val="en-US"/>
        </w:rPr>
        <w:t>, RAN1 Chairman’s Notes, RAN1#88</w:t>
      </w:r>
      <w:r>
        <w:rPr>
          <w:lang w:val="en-US"/>
        </w:rPr>
        <w:t xml:space="preserve">Bis, </w:t>
      </w:r>
      <w:r w:rsidR="00072541">
        <w:rPr>
          <w:lang w:val="en-US"/>
        </w:rPr>
        <w:t>Spokane</w:t>
      </w:r>
      <w:r>
        <w:rPr>
          <w:lang w:val="en-US"/>
        </w:rPr>
        <w:t>.</w:t>
      </w:r>
    </w:p>
    <w:p w:rsidR="007F1C7D" w:rsidRDefault="007F1C7D" w:rsidP="006779BA">
      <w:pPr>
        <w:rPr>
          <w:lang w:val="en-US"/>
        </w:rPr>
      </w:pPr>
      <w:r>
        <w:rPr>
          <w:lang w:val="en-US"/>
        </w:rPr>
        <w:t xml:space="preserve">[3] </w:t>
      </w:r>
      <w:r w:rsidRPr="007F1C7D">
        <w:rPr>
          <w:lang w:val="en-US"/>
        </w:rPr>
        <w:t>R</w:t>
      </w:r>
      <w:r w:rsidR="00072541">
        <w:rPr>
          <w:lang w:val="en-US"/>
        </w:rPr>
        <w:t>1</w:t>
      </w:r>
      <w:r w:rsidRPr="007F1C7D">
        <w:rPr>
          <w:lang w:val="en-US"/>
        </w:rPr>
        <w:t>-1</w:t>
      </w:r>
      <w:r w:rsidR="00072541">
        <w:rPr>
          <w:lang w:val="en-US"/>
        </w:rPr>
        <w:t>7</w:t>
      </w:r>
      <w:r w:rsidR="00F069C2" w:rsidRPr="00F069C2">
        <w:rPr>
          <w:lang w:val="en-US"/>
        </w:rPr>
        <w:t>08061</w:t>
      </w:r>
      <w:r w:rsidRPr="007F1C7D">
        <w:rPr>
          <w:lang w:val="en-US"/>
        </w:rPr>
        <w:t>, "</w:t>
      </w:r>
      <w:r w:rsidR="00072541" w:rsidRPr="00072541">
        <w:rPr>
          <w:lang w:val="en-US"/>
        </w:rPr>
        <w:t>LTE-NR coexistence for DL</w:t>
      </w:r>
      <w:r w:rsidR="00072541">
        <w:rPr>
          <w:lang w:val="en-US"/>
        </w:rPr>
        <w:t xml:space="preserve"> </w:t>
      </w:r>
      <w:r>
        <w:rPr>
          <w:lang w:val="en-US"/>
        </w:rPr>
        <w:t>", Samsung.</w:t>
      </w:r>
    </w:p>
    <w:p w:rsidR="00B752CA" w:rsidRDefault="00B752CA" w:rsidP="006779BA">
      <w:pPr>
        <w:rPr>
          <w:lang w:val="en-US"/>
        </w:rPr>
      </w:pPr>
      <w:r>
        <w:rPr>
          <w:lang w:val="en-US"/>
        </w:rPr>
        <w:t>[4] R1-1</w:t>
      </w:r>
      <w:r w:rsidR="00072541">
        <w:rPr>
          <w:lang w:val="en-US"/>
        </w:rPr>
        <w:t>7</w:t>
      </w:r>
      <w:r w:rsidR="00F069C2" w:rsidRPr="00F069C2">
        <w:rPr>
          <w:lang w:val="en-US"/>
        </w:rPr>
        <w:t>08062</w:t>
      </w:r>
      <w:r w:rsidR="00B42325">
        <w:rPr>
          <w:lang w:val="en-US"/>
        </w:rPr>
        <w:t>, “</w:t>
      </w:r>
      <w:r w:rsidR="00072541" w:rsidRPr="00072541">
        <w:rPr>
          <w:rFonts w:hint="eastAsia"/>
          <w:lang w:val="en-US"/>
        </w:rPr>
        <w:t>LTE-NR Coexistence for UL</w:t>
      </w:r>
      <w:r w:rsidR="00B42325">
        <w:rPr>
          <w:lang w:val="en-US"/>
        </w:rPr>
        <w:t>”, Samsung.</w:t>
      </w:r>
    </w:p>
    <w:sectPr w:rsidR="00B752C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A98" w:rsidRPr="008C651D" w:rsidRDefault="004F4A98" w:rsidP="00C24254">
      <w:pPr>
        <w:spacing w:after="0"/>
        <w:rPr>
          <w:rFonts w:ascii="Arial" w:eastAsia="SimSun" w:hAnsi="Arial" w:cs="Arial"/>
          <w:color w:val="0000FF"/>
          <w:kern w:val="2"/>
          <w:lang w:val="en-US" w:eastAsia="zh-CN"/>
        </w:rPr>
      </w:pPr>
      <w:r>
        <w:separator/>
      </w:r>
    </w:p>
  </w:endnote>
  <w:endnote w:type="continuationSeparator" w:id="0">
    <w:p w:rsidR="004F4A98" w:rsidRPr="008C651D" w:rsidRDefault="004F4A98"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A98" w:rsidRPr="008C651D" w:rsidRDefault="004F4A98" w:rsidP="00C24254">
      <w:pPr>
        <w:spacing w:after="0"/>
        <w:rPr>
          <w:rFonts w:ascii="Arial" w:eastAsia="SimSun" w:hAnsi="Arial" w:cs="Arial"/>
          <w:color w:val="0000FF"/>
          <w:kern w:val="2"/>
          <w:lang w:val="en-US" w:eastAsia="zh-CN"/>
        </w:rPr>
      </w:pPr>
      <w:r>
        <w:separator/>
      </w:r>
    </w:p>
  </w:footnote>
  <w:footnote w:type="continuationSeparator" w:id="0">
    <w:p w:rsidR="004F4A98" w:rsidRPr="008C651D" w:rsidRDefault="004F4A98"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2">
    <w:nsid w:val="225374AC"/>
    <w:multiLevelType w:val="hybridMultilevel"/>
    <w:tmpl w:val="8F4CC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4D42399"/>
    <w:multiLevelType w:val="hybridMultilevel"/>
    <w:tmpl w:val="E2185650"/>
    <w:lvl w:ilvl="0" w:tplc="DC4C090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5">
    <w:nsid w:val="31D45647"/>
    <w:multiLevelType w:val="hybridMultilevel"/>
    <w:tmpl w:val="4926AF6C"/>
    <w:lvl w:ilvl="0" w:tplc="0409001B">
      <w:start w:val="1"/>
      <w:numFmt w:val="lowerRoman"/>
      <w:lvlText w:val="%1."/>
      <w:lvlJc w:val="righ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48342FA"/>
    <w:multiLevelType w:val="hybridMultilevel"/>
    <w:tmpl w:val="9870991A"/>
    <w:lvl w:ilvl="0" w:tplc="14CACE72">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C004B"/>
    <w:multiLevelType w:val="hybridMultilevel"/>
    <w:tmpl w:val="E8D49E1C"/>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F">
      <w:start w:val="1"/>
      <w:numFmt w:val="decimal"/>
      <w:lvlText w:val="%3."/>
      <w:lvlJc w:val="left"/>
      <w:pPr>
        <w:ind w:left="2340" w:hanging="36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F2C1B4A"/>
    <w:multiLevelType w:val="hybridMultilevel"/>
    <w:tmpl w:val="2DF68E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start w:val="1"/>
      <w:numFmt w:val="bullet"/>
      <w:lvlText w:val="•"/>
      <w:lvlJc w:val="left"/>
      <w:pPr>
        <w:tabs>
          <w:tab w:val="num" w:pos="2160"/>
        </w:tabs>
        <w:ind w:left="2160" w:hanging="360"/>
      </w:pPr>
      <w:rPr>
        <w:rFonts w:ascii="Arial" w:hAnsi="Arial" w:hint="default"/>
      </w:rPr>
    </w:lvl>
    <w:lvl w:ilvl="3" w:tplc="1D580A00">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10">
    <w:nsid w:val="605F621D"/>
    <w:multiLevelType w:val="hybridMultilevel"/>
    <w:tmpl w:val="63A2D1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D411592"/>
    <w:multiLevelType w:val="hybridMultilevel"/>
    <w:tmpl w:val="C9B6C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5"/>
  </w:num>
  <w:num w:numId="5">
    <w:abstractNumId w:val="6"/>
  </w:num>
  <w:num w:numId="6">
    <w:abstractNumId w:val="1"/>
  </w:num>
  <w:num w:numId="7">
    <w:abstractNumId w:val="0"/>
  </w:num>
  <w:num w:numId="8">
    <w:abstractNumId w:val="3"/>
  </w:num>
  <w:num w:numId="9">
    <w:abstractNumId w:val="4"/>
  </w:num>
  <w:num w:numId="10">
    <w:abstractNumId w:val="11"/>
  </w:num>
  <w:num w:numId="11">
    <w:abstractNumId w:val="2"/>
  </w:num>
  <w:num w:numId="12">
    <w:abstractNumId w:val="12"/>
  </w:num>
  <w:num w:numId="13">
    <w:abstractNumId w:val="10"/>
  </w:num>
  <w:num w:numId="14">
    <w:abstractNumId w:val="8"/>
  </w:num>
  <w:num w:numId="15">
    <w:abstractNumId w:val="9"/>
  </w:num>
  <w:num w:numId="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AAB"/>
    <w:rsid w:val="000050A3"/>
    <w:rsid w:val="00005FB7"/>
    <w:rsid w:val="00006789"/>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446"/>
    <w:rsid w:val="00023526"/>
    <w:rsid w:val="000253A8"/>
    <w:rsid w:val="00025CA7"/>
    <w:rsid w:val="0002766E"/>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609C"/>
    <w:rsid w:val="00046152"/>
    <w:rsid w:val="000467D6"/>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57801"/>
    <w:rsid w:val="00061E9F"/>
    <w:rsid w:val="00063375"/>
    <w:rsid w:val="000637F3"/>
    <w:rsid w:val="00063801"/>
    <w:rsid w:val="0006399B"/>
    <w:rsid w:val="00064492"/>
    <w:rsid w:val="00065CB1"/>
    <w:rsid w:val="0006608C"/>
    <w:rsid w:val="00066BD8"/>
    <w:rsid w:val="000678D1"/>
    <w:rsid w:val="000701D6"/>
    <w:rsid w:val="0007046B"/>
    <w:rsid w:val="00070856"/>
    <w:rsid w:val="00070DB7"/>
    <w:rsid w:val="00071541"/>
    <w:rsid w:val="00072541"/>
    <w:rsid w:val="00072601"/>
    <w:rsid w:val="000730DE"/>
    <w:rsid w:val="000731FA"/>
    <w:rsid w:val="0007355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29BB"/>
    <w:rsid w:val="00083ABA"/>
    <w:rsid w:val="00083BE3"/>
    <w:rsid w:val="00084271"/>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610"/>
    <w:rsid w:val="00097A00"/>
    <w:rsid w:val="000A2A88"/>
    <w:rsid w:val="000A2AA9"/>
    <w:rsid w:val="000A2C2A"/>
    <w:rsid w:val="000A52B7"/>
    <w:rsid w:val="000A5E88"/>
    <w:rsid w:val="000A6D57"/>
    <w:rsid w:val="000A7499"/>
    <w:rsid w:val="000B0FF4"/>
    <w:rsid w:val="000B10DF"/>
    <w:rsid w:val="000B20B5"/>
    <w:rsid w:val="000B3157"/>
    <w:rsid w:val="000B38DA"/>
    <w:rsid w:val="000B45FA"/>
    <w:rsid w:val="000B55C4"/>
    <w:rsid w:val="000B5BC6"/>
    <w:rsid w:val="000B5ED4"/>
    <w:rsid w:val="000B6056"/>
    <w:rsid w:val="000B6DE7"/>
    <w:rsid w:val="000C0E97"/>
    <w:rsid w:val="000C0FF7"/>
    <w:rsid w:val="000C254E"/>
    <w:rsid w:val="000C3976"/>
    <w:rsid w:val="000C3B5C"/>
    <w:rsid w:val="000C4097"/>
    <w:rsid w:val="000C4BE8"/>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5C58"/>
    <w:rsid w:val="000F28B3"/>
    <w:rsid w:val="000F2A25"/>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FEA"/>
    <w:rsid w:val="0011710B"/>
    <w:rsid w:val="00117410"/>
    <w:rsid w:val="00120DDE"/>
    <w:rsid w:val="00121974"/>
    <w:rsid w:val="00121E56"/>
    <w:rsid w:val="00121EFB"/>
    <w:rsid w:val="0012243F"/>
    <w:rsid w:val="00122D31"/>
    <w:rsid w:val="00123C38"/>
    <w:rsid w:val="00124DA9"/>
    <w:rsid w:val="00125ACB"/>
    <w:rsid w:val="00126327"/>
    <w:rsid w:val="001269A5"/>
    <w:rsid w:val="00126B17"/>
    <w:rsid w:val="00126D3B"/>
    <w:rsid w:val="00127137"/>
    <w:rsid w:val="0012761A"/>
    <w:rsid w:val="0013030E"/>
    <w:rsid w:val="00131BDE"/>
    <w:rsid w:val="00131DD9"/>
    <w:rsid w:val="001343BE"/>
    <w:rsid w:val="00134A37"/>
    <w:rsid w:val="00134EA5"/>
    <w:rsid w:val="0013681B"/>
    <w:rsid w:val="00137354"/>
    <w:rsid w:val="00137AB3"/>
    <w:rsid w:val="00142E09"/>
    <w:rsid w:val="0014372F"/>
    <w:rsid w:val="00143C09"/>
    <w:rsid w:val="001450FD"/>
    <w:rsid w:val="00145F55"/>
    <w:rsid w:val="001461CA"/>
    <w:rsid w:val="00146614"/>
    <w:rsid w:val="001471B6"/>
    <w:rsid w:val="001502CF"/>
    <w:rsid w:val="00150EE4"/>
    <w:rsid w:val="00151078"/>
    <w:rsid w:val="0015107F"/>
    <w:rsid w:val="00151462"/>
    <w:rsid w:val="00151CCC"/>
    <w:rsid w:val="00151F81"/>
    <w:rsid w:val="001535AB"/>
    <w:rsid w:val="00153CFA"/>
    <w:rsid w:val="0015454E"/>
    <w:rsid w:val="00154871"/>
    <w:rsid w:val="00154907"/>
    <w:rsid w:val="0015717A"/>
    <w:rsid w:val="00157199"/>
    <w:rsid w:val="001573A9"/>
    <w:rsid w:val="00157987"/>
    <w:rsid w:val="00160710"/>
    <w:rsid w:val="00160AE1"/>
    <w:rsid w:val="001614FD"/>
    <w:rsid w:val="001616D5"/>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E0ABD"/>
    <w:rsid w:val="001E0D91"/>
    <w:rsid w:val="001E1529"/>
    <w:rsid w:val="001E1E66"/>
    <w:rsid w:val="001E22C9"/>
    <w:rsid w:val="001E35F8"/>
    <w:rsid w:val="001E45E8"/>
    <w:rsid w:val="001E6688"/>
    <w:rsid w:val="001E6C44"/>
    <w:rsid w:val="001E7B24"/>
    <w:rsid w:val="001F06AE"/>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A6E"/>
    <w:rsid w:val="002118BB"/>
    <w:rsid w:val="002127EC"/>
    <w:rsid w:val="002127FD"/>
    <w:rsid w:val="00212C53"/>
    <w:rsid w:val="002134D3"/>
    <w:rsid w:val="002139B2"/>
    <w:rsid w:val="00214CAD"/>
    <w:rsid w:val="00215FA3"/>
    <w:rsid w:val="00216473"/>
    <w:rsid w:val="00216DDD"/>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975"/>
    <w:rsid w:val="00237FD6"/>
    <w:rsid w:val="002407A5"/>
    <w:rsid w:val="00240C01"/>
    <w:rsid w:val="002424A0"/>
    <w:rsid w:val="00245BE5"/>
    <w:rsid w:val="0024667B"/>
    <w:rsid w:val="00246C3B"/>
    <w:rsid w:val="002477C3"/>
    <w:rsid w:val="002502EB"/>
    <w:rsid w:val="00251E8A"/>
    <w:rsid w:val="0025227A"/>
    <w:rsid w:val="002527DC"/>
    <w:rsid w:val="0025284F"/>
    <w:rsid w:val="00255104"/>
    <w:rsid w:val="0025586F"/>
    <w:rsid w:val="00255BAD"/>
    <w:rsid w:val="0025600D"/>
    <w:rsid w:val="00256567"/>
    <w:rsid w:val="00256FF4"/>
    <w:rsid w:val="002570AA"/>
    <w:rsid w:val="0026054F"/>
    <w:rsid w:val="0026066F"/>
    <w:rsid w:val="002609C3"/>
    <w:rsid w:val="00260B91"/>
    <w:rsid w:val="00261187"/>
    <w:rsid w:val="002614AE"/>
    <w:rsid w:val="0026242C"/>
    <w:rsid w:val="00262697"/>
    <w:rsid w:val="00263BDB"/>
    <w:rsid w:val="00265788"/>
    <w:rsid w:val="00265A93"/>
    <w:rsid w:val="00265D4A"/>
    <w:rsid w:val="0026652D"/>
    <w:rsid w:val="00266DA8"/>
    <w:rsid w:val="00267CE6"/>
    <w:rsid w:val="00270A02"/>
    <w:rsid w:val="00270ABB"/>
    <w:rsid w:val="00270E58"/>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B28"/>
    <w:rsid w:val="00291138"/>
    <w:rsid w:val="00292048"/>
    <w:rsid w:val="0029285D"/>
    <w:rsid w:val="002939F6"/>
    <w:rsid w:val="002941D4"/>
    <w:rsid w:val="00294990"/>
    <w:rsid w:val="0029503C"/>
    <w:rsid w:val="00295631"/>
    <w:rsid w:val="00296669"/>
    <w:rsid w:val="002978BD"/>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26A"/>
    <w:rsid w:val="002B5BFC"/>
    <w:rsid w:val="002B5D43"/>
    <w:rsid w:val="002B5E59"/>
    <w:rsid w:val="002B60A0"/>
    <w:rsid w:val="002B6B58"/>
    <w:rsid w:val="002B7B1A"/>
    <w:rsid w:val="002C1416"/>
    <w:rsid w:val="002C1C9B"/>
    <w:rsid w:val="002C26B2"/>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6FF"/>
    <w:rsid w:val="002D392B"/>
    <w:rsid w:val="002D40EE"/>
    <w:rsid w:val="002D78AD"/>
    <w:rsid w:val="002D794E"/>
    <w:rsid w:val="002E0FE2"/>
    <w:rsid w:val="002E1A19"/>
    <w:rsid w:val="002E2545"/>
    <w:rsid w:val="002E25FF"/>
    <w:rsid w:val="002E27FB"/>
    <w:rsid w:val="002E319A"/>
    <w:rsid w:val="002E3CDD"/>
    <w:rsid w:val="002E3DC3"/>
    <w:rsid w:val="002E490D"/>
    <w:rsid w:val="002E4E25"/>
    <w:rsid w:val="002E511E"/>
    <w:rsid w:val="002E6EF8"/>
    <w:rsid w:val="002E6FB4"/>
    <w:rsid w:val="002E78A0"/>
    <w:rsid w:val="002E7F61"/>
    <w:rsid w:val="002F2CE3"/>
    <w:rsid w:val="002F3582"/>
    <w:rsid w:val="002F456C"/>
    <w:rsid w:val="002F4B2C"/>
    <w:rsid w:val="002F5935"/>
    <w:rsid w:val="003000D0"/>
    <w:rsid w:val="003023D1"/>
    <w:rsid w:val="00304291"/>
    <w:rsid w:val="00304BAF"/>
    <w:rsid w:val="00304CF9"/>
    <w:rsid w:val="00304FB4"/>
    <w:rsid w:val="003051EB"/>
    <w:rsid w:val="0030573B"/>
    <w:rsid w:val="003064F0"/>
    <w:rsid w:val="0030657B"/>
    <w:rsid w:val="00306B1C"/>
    <w:rsid w:val="003071A0"/>
    <w:rsid w:val="00307233"/>
    <w:rsid w:val="003076DC"/>
    <w:rsid w:val="003103B1"/>
    <w:rsid w:val="00310571"/>
    <w:rsid w:val="00310DEF"/>
    <w:rsid w:val="00310E18"/>
    <w:rsid w:val="003117D3"/>
    <w:rsid w:val="00311A15"/>
    <w:rsid w:val="00311B8E"/>
    <w:rsid w:val="0031305D"/>
    <w:rsid w:val="00314C38"/>
    <w:rsid w:val="00315A4E"/>
    <w:rsid w:val="00315ECA"/>
    <w:rsid w:val="003162AB"/>
    <w:rsid w:val="0031661A"/>
    <w:rsid w:val="00316C83"/>
    <w:rsid w:val="0031786C"/>
    <w:rsid w:val="003219D4"/>
    <w:rsid w:val="003221C7"/>
    <w:rsid w:val="003252A9"/>
    <w:rsid w:val="00326C2D"/>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3D4"/>
    <w:rsid w:val="00340A2D"/>
    <w:rsid w:val="00340A63"/>
    <w:rsid w:val="00341627"/>
    <w:rsid w:val="00341A2F"/>
    <w:rsid w:val="00343C6F"/>
    <w:rsid w:val="00344742"/>
    <w:rsid w:val="003449E2"/>
    <w:rsid w:val="00345BE3"/>
    <w:rsid w:val="00345FFD"/>
    <w:rsid w:val="003471D8"/>
    <w:rsid w:val="003478BE"/>
    <w:rsid w:val="003479B5"/>
    <w:rsid w:val="00347A3F"/>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580A"/>
    <w:rsid w:val="00367645"/>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8F"/>
    <w:rsid w:val="00381EE7"/>
    <w:rsid w:val="003830B1"/>
    <w:rsid w:val="003833F6"/>
    <w:rsid w:val="00385454"/>
    <w:rsid w:val="003866F9"/>
    <w:rsid w:val="00386BED"/>
    <w:rsid w:val="00390C09"/>
    <w:rsid w:val="00391B4C"/>
    <w:rsid w:val="00392667"/>
    <w:rsid w:val="003929BD"/>
    <w:rsid w:val="0039361E"/>
    <w:rsid w:val="00393839"/>
    <w:rsid w:val="003938F4"/>
    <w:rsid w:val="00393E40"/>
    <w:rsid w:val="00394281"/>
    <w:rsid w:val="003951BD"/>
    <w:rsid w:val="003951DA"/>
    <w:rsid w:val="00395462"/>
    <w:rsid w:val="003954DB"/>
    <w:rsid w:val="00395639"/>
    <w:rsid w:val="00395A45"/>
    <w:rsid w:val="00397D51"/>
    <w:rsid w:val="003A00CC"/>
    <w:rsid w:val="003A010C"/>
    <w:rsid w:val="003A0DE8"/>
    <w:rsid w:val="003A0F72"/>
    <w:rsid w:val="003A1330"/>
    <w:rsid w:val="003A16B2"/>
    <w:rsid w:val="003A1A6E"/>
    <w:rsid w:val="003A2018"/>
    <w:rsid w:val="003A2968"/>
    <w:rsid w:val="003A2B1B"/>
    <w:rsid w:val="003A4268"/>
    <w:rsid w:val="003A70F0"/>
    <w:rsid w:val="003B2376"/>
    <w:rsid w:val="003B266A"/>
    <w:rsid w:val="003B3ACB"/>
    <w:rsid w:val="003B4396"/>
    <w:rsid w:val="003B57B4"/>
    <w:rsid w:val="003B5E2A"/>
    <w:rsid w:val="003B66EF"/>
    <w:rsid w:val="003B73E0"/>
    <w:rsid w:val="003B790B"/>
    <w:rsid w:val="003B795C"/>
    <w:rsid w:val="003C0FC6"/>
    <w:rsid w:val="003C31E7"/>
    <w:rsid w:val="003C3596"/>
    <w:rsid w:val="003C35DB"/>
    <w:rsid w:val="003C3D14"/>
    <w:rsid w:val="003C41E3"/>
    <w:rsid w:val="003C4216"/>
    <w:rsid w:val="003C4C22"/>
    <w:rsid w:val="003C4C44"/>
    <w:rsid w:val="003C5736"/>
    <w:rsid w:val="003C5B9E"/>
    <w:rsid w:val="003C62C5"/>
    <w:rsid w:val="003C7D1A"/>
    <w:rsid w:val="003D24A6"/>
    <w:rsid w:val="003D2C2D"/>
    <w:rsid w:val="003D3945"/>
    <w:rsid w:val="003D395A"/>
    <w:rsid w:val="003D39F0"/>
    <w:rsid w:val="003D4D15"/>
    <w:rsid w:val="003D5129"/>
    <w:rsid w:val="003D5151"/>
    <w:rsid w:val="003D5339"/>
    <w:rsid w:val="003D63FB"/>
    <w:rsid w:val="003D64F8"/>
    <w:rsid w:val="003E10B5"/>
    <w:rsid w:val="003E2A5B"/>
    <w:rsid w:val="003E2DF1"/>
    <w:rsid w:val="003E2E81"/>
    <w:rsid w:val="003E4420"/>
    <w:rsid w:val="003E55CD"/>
    <w:rsid w:val="003E612B"/>
    <w:rsid w:val="003E64DA"/>
    <w:rsid w:val="003E6B42"/>
    <w:rsid w:val="003E6B97"/>
    <w:rsid w:val="003E752F"/>
    <w:rsid w:val="003F0740"/>
    <w:rsid w:val="003F0C24"/>
    <w:rsid w:val="003F3A2F"/>
    <w:rsid w:val="003F45F8"/>
    <w:rsid w:val="003F4E5B"/>
    <w:rsid w:val="003F51BF"/>
    <w:rsid w:val="003F5A4B"/>
    <w:rsid w:val="003F5E7C"/>
    <w:rsid w:val="003F7F68"/>
    <w:rsid w:val="00401D98"/>
    <w:rsid w:val="00405CCB"/>
    <w:rsid w:val="004068D2"/>
    <w:rsid w:val="00406D34"/>
    <w:rsid w:val="00406E99"/>
    <w:rsid w:val="0040793C"/>
    <w:rsid w:val="00411656"/>
    <w:rsid w:val="00413024"/>
    <w:rsid w:val="004138C7"/>
    <w:rsid w:val="00413938"/>
    <w:rsid w:val="00413B85"/>
    <w:rsid w:val="00413DD0"/>
    <w:rsid w:val="00414697"/>
    <w:rsid w:val="00414D5A"/>
    <w:rsid w:val="00414EA8"/>
    <w:rsid w:val="00414F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B38"/>
    <w:rsid w:val="00431D28"/>
    <w:rsid w:val="0043208C"/>
    <w:rsid w:val="004321E3"/>
    <w:rsid w:val="004324E2"/>
    <w:rsid w:val="004329DD"/>
    <w:rsid w:val="00433390"/>
    <w:rsid w:val="00434A5D"/>
    <w:rsid w:val="00434AA5"/>
    <w:rsid w:val="00434DF5"/>
    <w:rsid w:val="00435247"/>
    <w:rsid w:val="004359DC"/>
    <w:rsid w:val="00435C86"/>
    <w:rsid w:val="00436911"/>
    <w:rsid w:val="00436C9F"/>
    <w:rsid w:val="00440072"/>
    <w:rsid w:val="00441286"/>
    <w:rsid w:val="00441C96"/>
    <w:rsid w:val="0044286E"/>
    <w:rsid w:val="00442D9B"/>
    <w:rsid w:val="00442F2A"/>
    <w:rsid w:val="00444AEC"/>
    <w:rsid w:val="0044521B"/>
    <w:rsid w:val="00446A0B"/>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31D7"/>
    <w:rsid w:val="00474840"/>
    <w:rsid w:val="00475F62"/>
    <w:rsid w:val="004760FB"/>
    <w:rsid w:val="00476E91"/>
    <w:rsid w:val="00477800"/>
    <w:rsid w:val="00477DFF"/>
    <w:rsid w:val="00480029"/>
    <w:rsid w:val="00480543"/>
    <w:rsid w:val="00480C6C"/>
    <w:rsid w:val="00480C74"/>
    <w:rsid w:val="004817E1"/>
    <w:rsid w:val="00481AD3"/>
    <w:rsid w:val="00481CA7"/>
    <w:rsid w:val="00481FFF"/>
    <w:rsid w:val="00482E60"/>
    <w:rsid w:val="0048353F"/>
    <w:rsid w:val="00483654"/>
    <w:rsid w:val="00483BC1"/>
    <w:rsid w:val="00483CEB"/>
    <w:rsid w:val="00483F93"/>
    <w:rsid w:val="004855DA"/>
    <w:rsid w:val="00486141"/>
    <w:rsid w:val="0048764A"/>
    <w:rsid w:val="004903BB"/>
    <w:rsid w:val="00491566"/>
    <w:rsid w:val="0049170A"/>
    <w:rsid w:val="00492D53"/>
    <w:rsid w:val="0049387C"/>
    <w:rsid w:val="004939B9"/>
    <w:rsid w:val="0049423C"/>
    <w:rsid w:val="004951FE"/>
    <w:rsid w:val="0049521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30D"/>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D1F"/>
    <w:rsid w:val="004B7DC0"/>
    <w:rsid w:val="004C06A2"/>
    <w:rsid w:val="004C0B94"/>
    <w:rsid w:val="004C0CD6"/>
    <w:rsid w:val="004C15F3"/>
    <w:rsid w:val="004C26EA"/>
    <w:rsid w:val="004C2D98"/>
    <w:rsid w:val="004C3C24"/>
    <w:rsid w:val="004C4E34"/>
    <w:rsid w:val="004C5276"/>
    <w:rsid w:val="004C5EBC"/>
    <w:rsid w:val="004C6679"/>
    <w:rsid w:val="004C7136"/>
    <w:rsid w:val="004C7BD5"/>
    <w:rsid w:val="004D00B0"/>
    <w:rsid w:val="004D046F"/>
    <w:rsid w:val="004D04D8"/>
    <w:rsid w:val="004D0C34"/>
    <w:rsid w:val="004D128F"/>
    <w:rsid w:val="004D1841"/>
    <w:rsid w:val="004D18FB"/>
    <w:rsid w:val="004D220E"/>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42C9"/>
    <w:rsid w:val="004E59EC"/>
    <w:rsid w:val="004E5D2A"/>
    <w:rsid w:val="004E6522"/>
    <w:rsid w:val="004E69E9"/>
    <w:rsid w:val="004E7A57"/>
    <w:rsid w:val="004F070A"/>
    <w:rsid w:val="004F0A1D"/>
    <w:rsid w:val="004F188D"/>
    <w:rsid w:val="004F1980"/>
    <w:rsid w:val="004F2F7D"/>
    <w:rsid w:val="004F3710"/>
    <w:rsid w:val="004F42AB"/>
    <w:rsid w:val="004F4A98"/>
    <w:rsid w:val="004F575A"/>
    <w:rsid w:val="004F686A"/>
    <w:rsid w:val="004F7A1D"/>
    <w:rsid w:val="004F7EEA"/>
    <w:rsid w:val="004F7F22"/>
    <w:rsid w:val="00500560"/>
    <w:rsid w:val="00501A4A"/>
    <w:rsid w:val="00502A8F"/>
    <w:rsid w:val="005035A3"/>
    <w:rsid w:val="00504A44"/>
    <w:rsid w:val="00504CDB"/>
    <w:rsid w:val="00505919"/>
    <w:rsid w:val="00505FA8"/>
    <w:rsid w:val="00510948"/>
    <w:rsid w:val="00511E7E"/>
    <w:rsid w:val="00511E8F"/>
    <w:rsid w:val="00514E61"/>
    <w:rsid w:val="00515C97"/>
    <w:rsid w:val="00516088"/>
    <w:rsid w:val="005161F1"/>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1C07"/>
    <w:rsid w:val="00531D97"/>
    <w:rsid w:val="00532358"/>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706A"/>
    <w:rsid w:val="0054746D"/>
    <w:rsid w:val="00547F8E"/>
    <w:rsid w:val="00552845"/>
    <w:rsid w:val="00553994"/>
    <w:rsid w:val="00554DA5"/>
    <w:rsid w:val="00555A15"/>
    <w:rsid w:val="005563E1"/>
    <w:rsid w:val="00556A48"/>
    <w:rsid w:val="00556B99"/>
    <w:rsid w:val="005573A7"/>
    <w:rsid w:val="005575C6"/>
    <w:rsid w:val="00560213"/>
    <w:rsid w:val="00560318"/>
    <w:rsid w:val="00561186"/>
    <w:rsid w:val="00561194"/>
    <w:rsid w:val="00562A51"/>
    <w:rsid w:val="00565380"/>
    <w:rsid w:val="00565D9B"/>
    <w:rsid w:val="005660BA"/>
    <w:rsid w:val="005700A0"/>
    <w:rsid w:val="00570E5A"/>
    <w:rsid w:val="00571D7B"/>
    <w:rsid w:val="00571F97"/>
    <w:rsid w:val="005721A2"/>
    <w:rsid w:val="0057331B"/>
    <w:rsid w:val="00573F37"/>
    <w:rsid w:val="0057470E"/>
    <w:rsid w:val="0057514D"/>
    <w:rsid w:val="005754C8"/>
    <w:rsid w:val="00575C78"/>
    <w:rsid w:val="0057655A"/>
    <w:rsid w:val="005772AE"/>
    <w:rsid w:val="005806F6"/>
    <w:rsid w:val="00580C00"/>
    <w:rsid w:val="00581011"/>
    <w:rsid w:val="00581EE5"/>
    <w:rsid w:val="00582153"/>
    <w:rsid w:val="00582556"/>
    <w:rsid w:val="005835E9"/>
    <w:rsid w:val="0058370F"/>
    <w:rsid w:val="00583FFD"/>
    <w:rsid w:val="0058617B"/>
    <w:rsid w:val="00586D5B"/>
    <w:rsid w:val="005927EC"/>
    <w:rsid w:val="00592F2E"/>
    <w:rsid w:val="005937E4"/>
    <w:rsid w:val="00593FC0"/>
    <w:rsid w:val="00594027"/>
    <w:rsid w:val="0059403E"/>
    <w:rsid w:val="005950D2"/>
    <w:rsid w:val="00596DA0"/>
    <w:rsid w:val="005971B8"/>
    <w:rsid w:val="00597219"/>
    <w:rsid w:val="00597281"/>
    <w:rsid w:val="00597666"/>
    <w:rsid w:val="00597AD6"/>
    <w:rsid w:val="00597FEE"/>
    <w:rsid w:val="005A14E2"/>
    <w:rsid w:val="005A2A58"/>
    <w:rsid w:val="005A48E5"/>
    <w:rsid w:val="005A5582"/>
    <w:rsid w:val="005A563B"/>
    <w:rsid w:val="005A5DB3"/>
    <w:rsid w:val="005A6591"/>
    <w:rsid w:val="005A793B"/>
    <w:rsid w:val="005B1906"/>
    <w:rsid w:val="005B1A95"/>
    <w:rsid w:val="005B1B29"/>
    <w:rsid w:val="005B1BC0"/>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6A9"/>
    <w:rsid w:val="005D6881"/>
    <w:rsid w:val="005D6944"/>
    <w:rsid w:val="005D6FAC"/>
    <w:rsid w:val="005D6FC0"/>
    <w:rsid w:val="005D7A5E"/>
    <w:rsid w:val="005E0511"/>
    <w:rsid w:val="005E08B2"/>
    <w:rsid w:val="005E0D00"/>
    <w:rsid w:val="005E0FC4"/>
    <w:rsid w:val="005E17D4"/>
    <w:rsid w:val="005E1F2B"/>
    <w:rsid w:val="005E240A"/>
    <w:rsid w:val="005E3A9C"/>
    <w:rsid w:val="005E3C86"/>
    <w:rsid w:val="005E44D5"/>
    <w:rsid w:val="005E45C8"/>
    <w:rsid w:val="005E4BBB"/>
    <w:rsid w:val="005E4D28"/>
    <w:rsid w:val="005E4E0F"/>
    <w:rsid w:val="005E564B"/>
    <w:rsid w:val="005F1A89"/>
    <w:rsid w:val="005F406D"/>
    <w:rsid w:val="005F4675"/>
    <w:rsid w:val="005F4D63"/>
    <w:rsid w:val="005F5D82"/>
    <w:rsid w:val="005F5F28"/>
    <w:rsid w:val="005F645B"/>
    <w:rsid w:val="005F6EF3"/>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3742"/>
    <w:rsid w:val="00614175"/>
    <w:rsid w:val="00614E44"/>
    <w:rsid w:val="00615E8E"/>
    <w:rsid w:val="0062125C"/>
    <w:rsid w:val="00621B8C"/>
    <w:rsid w:val="00621FF2"/>
    <w:rsid w:val="00622107"/>
    <w:rsid w:val="00622183"/>
    <w:rsid w:val="006222F3"/>
    <w:rsid w:val="0062235B"/>
    <w:rsid w:val="00622579"/>
    <w:rsid w:val="00623BB4"/>
    <w:rsid w:val="0062405F"/>
    <w:rsid w:val="00624EF7"/>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F32"/>
    <w:rsid w:val="00640963"/>
    <w:rsid w:val="00640A49"/>
    <w:rsid w:val="00640DE7"/>
    <w:rsid w:val="00641B05"/>
    <w:rsid w:val="00642921"/>
    <w:rsid w:val="00642C2B"/>
    <w:rsid w:val="00643FB1"/>
    <w:rsid w:val="00643FEF"/>
    <w:rsid w:val="00645555"/>
    <w:rsid w:val="0064681A"/>
    <w:rsid w:val="0064752F"/>
    <w:rsid w:val="00647584"/>
    <w:rsid w:val="00650037"/>
    <w:rsid w:val="006502EE"/>
    <w:rsid w:val="00651A0B"/>
    <w:rsid w:val="00651F77"/>
    <w:rsid w:val="006522E0"/>
    <w:rsid w:val="00653522"/>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71037"/>
    <w:rsid w:val="00671B29"/>
    <w:rsid w:val="00671E29"/>
    <w:rsid w:val="006732C0"/>
    <w:rsid w:val="006735AF"/>
    <w:rsid w:val="0067381D"/>
    <w:rsid w:val="00673A9F"/>
    <w:rsid w:val="00673D7B"/>
    <w:rsid w:val="00674E46"/>
    <w:rsid w:val="00675000"/>
    <w:rsid w:val="006753A9"/>
    <w:rsid w:val="00676C42"/>
    <w:rsid w:val="00676FCA"/>
    <w:rsid w:val="006779BA"/>
    <w:rsid w:val="00677C46"/>
    <w:rsid w:val="00686209"/>
    <w:rsid w:val="006862B1"/>
    <w:rsid w:val="00686394"/>
    <w:rsid w:val="006865A7"/>
    <w:rsid w:val="00686A14"/>
    <w:rsid w:val="006870F9"/>
    <w:rsid w:val="00687299"/>
    <w:rsid w:val="0068755B"/>
    <w:rsid w:val="0068774E"/>
    <w:rsid w:val="00687DF9"/>
    <w:rsid w:val="006900B4"/>
    <w:rsid w:val="00690569"/>
    <w:rsid w:val="006915E4"/>
    <w:rsid w:val="00691604"/>
    <w:rsid w:val="006924AC"/>
    <w:rsid w:val="0069307F"/>
    <w:rsid w:val="00693139"/>
    <w:rsid w:val="006945D3"/>
    <w:rsid w:val="00694AB0"/>
    <w:rsid w:val="00694B4E"/>
    <w:rsid w:val="00694DD3"/>
    <w:rsid w:val="0069582A"/>
    <w:rsid w:val="00695844"/>
    <w:rsid w:val="0069612D"/>
    <w:rsid w:val="00696C98"/>
    <w:rsid w:val="006970F9"/>
    <w:rsid w:val="006A074F"/>
    <w:rsid w:val="006A169F"/>
    <w:rsid w:val="006A179A"/>
    <w:rsid w:val="006A191D"/>
    <w:rsid w:val="006A19D7"/>
    <w:rsid w:val="006A2111"/>
    <w:rsid w:val="006A43EA"/>
    <w:rsid w:val="006A4559"/>
    <w:rsid w:val="006A555E"/>
    <w:rsid w:val="006A6197"/>
    <w:rsid w:val="006A6A28"/>
    <w:rsid w:val="006A777C"/>
    <w:rsid w:val="006B0526"/>
    <w:rsid w:val="006B0755"/>
    <w:rsid w:val="006B1036"/>
    <w:rsid w:val="006B1130"/>
    <w:rsid w:val="006B2C28"/>
    <w:rsid w:val="006B2DBE"/>
    <w:rsid w:val="006B2E90"/>
    <w:rsid w:val="006B3D84"/>
    <w:rsid w:val="006B4389"/>
    <w:rsid w:val="006B5C88"/>
    <w:rsid w:val="006B5D82"/>
    <w:rsid w:val="006B6030"/>
    <w:rsid w:val="006B69FD"/>
    <w:rsid w:val="006B6B35"/>
    <w:rsid w:val="006B7A78"/>
    <w:rsid w:val="006C07D3"/>
    <w:rsid w:val="006C0F92"/>
    <w:rsid w:val="006C294F"/>
    <w:rsid w:val="006C2C4F"/>
    <w:rsid w:val="006C2E2F"/>
    <w:rsid w:val="006C4302"/>
    <w:rsid w:val="006C5846"/>
    <w:rsid w:val="006D0992"/>
    <w:rsid w:val="006D1BFF"/>
    <w:rsid w:val="006D2814"/>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55FC"/>
    <w:rsid w:val="006E7903"/>
    <w:rsid w:val="006E79B2"/>
    <w:rsid w:val="006E7AC4"/>
    <w:rsid w:val="006F0E0E"/>
    <w:rsid w:val="006F0E11"/>
    <w:rsid w:val="006F16B4"/>
    <w:rsid w:val="006F643D"/>
    <w:rsid w:val="006F6BB5"/>
    <w:rsid w:val="006F6CC3"/>
    <w:rsid w:val="006F6E51"/>
    <w:rsid w:val="006F6F46"/>
    <w:rsid w:val="006F734A"/>
    <w:rsid w:val="007004AC"/>
    <w:rsid w:val="007025FD"/>
    <w:rsid w:val="007040BB"/>
    <w:rsid w:val="00704B43"/>
    <w:rsid w:val="007053DF"/>
    <w:rsid w:val="00705E3C"/>
    <w:rsid w:val="00706645"/>
    <w:rsid w:val="007067FC"/>
    <w:rsid w:val="00707378"/>
    <w:rsid w:val="0071076C"/>
    <w:rsid w:val="007116FF"/>
    <w:rsid w:val="007117A2"/>
    <w:rsid w:val="0071184E"/>
    <w:rsid w:val="00711FB6"/>
    <w:rsid w:val="00712688"/>
    <w:rsid w:val="007137F4"/>
    <w:rsid w:val="0071480E"/>
    <w:rsid w:val="00714A8A"/>
    <w:rsid w:val="007154B1"/>
    <w:rsid w:val="00715D5C"/>
    <w:rsid w:val="00715DF0"/>
    <w:rsid w:val="0071681C"/>
    <w:rsid w:val="00716E1E"/>
    <w:rsid w:val="00716F81"/>
    <w:rsid w:val="007174E7"/>
    <w:rsid w:val="007213BE"/>
    <w:rsid w:val="00721CAF"/>
    <w:rsid w:val="00721F9B"/>
    <w:rsid w:val="0072237D"/>
    <w:rsid w:val="0072282F"/>
    <w:rsid w:val="00722DE2"/>
    <w:rsid w:val="00723BBA"/>
    <w:rsid w:val="00723F98"/>
    <w:rsid w:val="00724771"/>
    <w:rsid w:val="00725004"/>
    <w:rsid w:val="00726620"/>
    <w:rsid w:val="0072784B"/>
    <w:rsid w:val="0073025A"/>
    <w:rsid w:val="00730A33"/>
    <w:rsid w:val="00730C94"/>
    <w:rsid w:val="00731DBC"/>
    <w:rsid w:val="00731F30"/>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DB3"/>
    <w:rsid w:val="00760E98"/>
    <w:rsid w:val="00761283"/>
    <w:rsid w:val="00761FAD"/>
    <w:rsid w:val="0076467F"/>
    <w:rsid w:val="00764B42"/>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3B33"/>
    <w:rsid w:val="007843D7"/>
    <w:rsid w:val="00786789"/>
    <w:rsid w:val="00786CBF"/>
    <w:rsid w:val="00787452"/>
    <w:rsid w:val="00790638"/>
    <w:rsid w:val="00792200"/>
    <w:rsid w:val="007927AB"/>
    <w:rsid w:val="00792BCA"/>
    <w:rsid w:val="00792C28"/>
    <w:rsid w:val="00792DE6"/>
    <w:rsid w:val="00793C19"/>
    <w:rsid w:val="007945C7"/>
    <w:rsid w:val="00795009"/>
    <w:rsid w:val="00796268"/>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31A"/>
    <w:rsid w:val="007B0659"/>
    <w:rsid w:val="007B1197"/>
    <w:rsid w:val="007B14D0"/>
    <w:rsid w:val="007B5345"/>
    <w:rsid w:val="007B5462"/>
    <w:rsid w:val="007B5543"/>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B7B"/>
    <w:rsid w:val="007D338B"/>
    <w:rsid w:val="007D3F48"/>
    <w:rsid w:val="007D4D82"/>
    <w:rsid w:val="007D4FC4"/>
    <w:rsid w:val="007D5996"/>
    <w:rsid w:val="007D6123"/>
    <w:rsid w:val="007D6A2C"/>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C7D"/>
    <w:rsid w:val="007F1E4D"/>
    <w:rsid w:val="007F2532"/>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17CE8"/>
    <w:rsid w:val="0082013D"/>
    <w:rsid w:val="008203E3"/>
    <w:rsid w:val="00820B8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4DBA"/>
    <w:rsid w:val="00836375"/>
    <w:rsid w:val="00836527"/>
    <w:rsid w:val="0083692B"/>
    <w:rsid w:val="00837072"/>
    <w:rsid w:val="00840067"/>
    <w:rsid w:val="008400B5"/>
    <w:rsid w:val="00841978"/>
    <w:rsid w:val="0084344A"/>
    <w:rsid w:val="008441BC"/>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21C4"/>
    <w:rsid w:val="008640D3"/>
    <w:rsid w:val="008642D7"/>
    <w:rsid w:val="00864CD0"/>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5FCE"/>
    <w:rsid w:val="008973D6"/>
    <w:rsid w:val="00897674"/>
    <w:rsid w:val="00897765"/>
    <w:rsid w:val="008A019B"/>
    <w:rsid w:val="008A1425"/>
    <w:rsid w:val="008A19BB"/>
    <w:rsid w:val="008A20DD"/>
    <w:rsid w:val="008A2337"/>
    <w:rsid w:val="008A2340"/>
    <w:rsid w:val="008A2B79"/>
    <w:rsid w:val="008A3854"/>
    <w:rsid w:val="008A3BC3"/>
    <w:rsid w:val="008A3D04"/>
    <w:rsid w:val="008A6C85"/>
    <w:rsid w:val="008A79B0"/>
    <w:rsid w:val="008B0602"/>
    <w:rsid w:val="008B0814"/>
    <w:rsid w:val="008B215D"/>
    <w:rsid w:val="008B3836"/>
    <w:rsid w:val="008B42E1"/>
    <w:rsid w:val="008B4358"/>
    <w:rsid w:val="008B57E4"/>
    <w:rsid w:val="008B662B"/>
    <w:rsid w:val="008B6DCD"/>
    <w:rsid w:val="008B7AE5"/>
    <w:rsid w:val="008C148A"/>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45E1"/>
    <w:rsid w:val="008E4DE1"/>
    <w:rsid w:val="008E624A"/>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1A4E"/>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41D5"/>
    <w:rsid w:val="00924D2F"/>
    <w:rsid w:val="00924E3A"/>
    <w:rsid w:val="0092530C"/>
    <w:rsid w:val="00925439"/>
    <w:rsid w:val="0093187E"/>
    <w:rsid w:val="00931E19"/>
    <w:rsid w:val="009320FA"/>
    <w:rsid w:val="00932294"/>
    <w:rsid w:val="0093243A"/>
    <w:rsid w:val="00932A94"/>
    <w:rsid w:val="0093308C"/>
    <w:rsid w:val="00933698"/>
    <w:rsid w:val="00933A28"/>
    <w:rsid w:val="00933CBF"/>
    <w:rsid w:val="00934ACE"/>
    <w:rsid w:val="00935341"/>
    <w:rsid w:val="009365BC"/>
    <w:rsid w:val="00937ACC"/>
    <w:rsid w:val="0094101C"/>
    <w:rsid w:val="00942824"/>
    <w:rsid w:val="00942FF1"/>
    <w:rsid w:val="00943126"/>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DF5"/>
    <w:rsid w:val="00956706"/>
    <w:rsid w:val="009576A0"/>
    <w:rsid w:val="00957A46"/>
    <w:rsid w:val="00957F8C"/>
    <w:rsid w:val="009601FE"/>
    <w:rsid w:val="00962D70"/>
    <w:rsid w:val="009643B4"/>
    <w:rsid w:val="00964EFB"/>
    <w:rsid w:val="00965515"/>
    <w:rsid w:val="00965550"/>
    <w:rsid w:val="00965CBD"/>
    <w:rsid w:val="00965D09"/>
    <w:rsid w:val="0096601C"/>
    <w:rsid w:val="009667B5"/>
    <w:rsid w:val="00966FFC"/>
    <w:rsid w:val="00967FCB"/>
    <w:rsid w:val="009702AB"/>
    <w:rsid w:val="00970C84"/>
    <w:rsid w:val="00970D90"/>
    <w:rsid w:val="00970DE9"/>
    <w:rsid w:val="009710E0"/>
    <w:rsid w:val="00971112"/>
    <w:rsid w:val="00971D9B"/>
    <w:rsid w:val="0097280D"/>
    <w:rsid w:val="00975AF0"/>
    <w:rsid w:val="00975DE2"/>
    <w:rsid w:val="00977B25"/>
    <w:rsid w:val="00980239"/>
    <w:rsid w:val="009829D1"/>
    <w:rsid w:val="00984D7A"/>
    <w:rsid w:val="00984F62"/>
    <w:rsid w:val="00985C6C"/>
    <w:rsid w:val="0098703A"/>
    <w:rsid w:val="0098718B"/>
    <w:rsid w:val="009876D5"/>
    <w:rsid w:val="009904B3"/>
    <w:rsid w:val="009907A3"/>
    <w:rsid w:val="0099318D"/>
    <w:rsid w:val="00993ED5"/>
    <w:rsid w:val="0099440C"/>
    <w:rsid w:val="009954DF"/>
    <w:rsid w:val="00995B37"/>
    <w:rsid w:val="0099681B"/>
    <w:rsid w:val="009977B8"/>
    <w:rsid w:val="009A00AD"/>
    <w:rsid w:val="009A0B5A"/>
    <w:rsid w:val="009A1113"/>
    <w:rsid w:val="009A1878"/>
    <w:rsid w:val="009A1A23"/>
    <w:rsid w:val="009A2173"/>
    <w:rsid w:val="009A3545"/>
    <w:rsid w:val="009A42AC"/>
    <w:rsid w:val="009A619C"/>
    <w:rsid w:val="009A7510"/>
    <w:rsid w:val="009A7A41"/>
    <w:rsid w:val="009B03BB"/>
    <w:rsid w:val="009B0BF2"/>
    <w:rsid w:val="009B0DB1"/>
    <w:rsid w:val="009B298E"/>
    <w:rsid w:val="009B2C41"/>
    <w:rsid w:val="009B3312"/>
    <w:rsid w:val="009B3598"/>
    <w:rsid w:val="009B548A"/>
    <w:rsid w:val="009B62B3"/>
    <w:rsid w:val="009B64A4"/>
    <w:rsid w:val="009B746C"/>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1835"/>
    <w:rsid w:val="009E281D"/>
    <w:rsid w:val="009E2967"/>
    <w:rsid w:val="009E2B6F"/>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52E"/>
    <w:rsid w:val="00A03BEF"/>
    <w:rsid w:val="00A03E94"/>
    <w:rsid w:val="00A04745"/>
    <w:rsid w:val="00A0498A"/>
    <w:rsid w:val="00A05082"/>
    <w:rsid w:val="00A05C83"/>
    <w:rsid w:val="00A065F5"/>
    <w:rsid w:val="00A06B4F"/>
    <w:rsid w:val="00A07CFC"/>
    <w:rsid w:val="00A11B09"/>
    <w:rsid w:val="00A11B5B"/>
    <w:rsid w:val="00A1211D"/>
    <w:rsid w:val="00A13E33"/>
    <w:rsid w:val="00A141BA"/>
    <w:rsid w:val="00A14D52"/>
    <w:rsid w:val="00A150E2"/>
    <w:rsid w:val="00A15830"/>
    <w:rsid w:val="00A16581"/>
    <w:rsid w:val="00A2051A"/>
    <w:rsid w:val="00A21A8F"/>
    <w:rsid w:val="00A21C7B"/>
    <w:rsid w:val="00A22085"/>
    <w:rsid w:val="00A223EA"/>
    <w:rsid w:val="00A2406C"/>
    <w:rsid w:val="00A241CC"/>
    <w:rsid w:val="00A247CA"/>
    <w:rsid w:val="00A2506B"/>
    <w:rsid w:val="00A25397"/>
    <w:rsid w:val="00A254AF"/>
    <w:rsid w:val="00A26CA0"/>
    <w:rsid w:val="00A271B4"/>
    <w:rsid w:val="00A27AE8"/>
    <w:rsid w:val="00A27C10"/>
    <w:rsid w:val="00A30EA7"/>
    <w:rsid w:val="00A31CE1"/>
    <w:rsid w:val="00A32655"/>
    <w:rsid w:val="00A34A7E"/>
    <w:rsid w:val="00A3566C"/>
    <w:rsid w:val="00A35846"/>
    <w:rsid w:val="00A36128"/>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7DC6"/>
    <w:rsid w:val="00A5021F"/>
    <w:rsid w:val="00A512F5"/>
    <w:rsid w:val="00A513DF"/>
    <w:rsid w:val="00A51934"/>
    <w:rsid w:val="00A526BD"/>
    <w:rsid w:val="00A5320A"/>
    <w:rsid w:val="00A539B2"/>
    <w:rsid w:val="00A54184"/>
    <w:rsid w:val="00A54575"/>
    <w:rsid w:val="00A5481E"/>
    <w:rsid w:val="00A54F81"/>
    <w:rsid w:val="00A56314"/>
    <w:rsid w:val="00A572D8"/>
    <w:rsid w:val="00A5768B"/>
    <w:rsid w:val="00A57E2C"/>
    <w:rsid w:val="00A600E3"/>
    <w:rsid w:val="00A61D02"/>
    <w:rsid w:val="00A61DC7"/>
    <w:rsid w:val="00A629E1"/>
    <w:rsid w:val="00A63FC4"/>
    <w:rsid w:val="00A646A5"/>
    <w:rsid w:val="00A64E39"/>
    <w:rsid w:val="00A6588D"/>
    <w:rsid w:val="00A65AFD"/>
    <w:rsid w:val="00A65BDF"/>
    <w:rsid w:val="00A65D3F"/>
    <w:rsid w:val="00A6627E"/>
    <w:rsid w:val="00A6677F"/>
    <w:rsid w:val="00A66A4D"/>
    <w:rsid w:val="00A66E76"/>
    <w:rsid w:val="00A674DB"/>
    <w:rsid w:val="00A705CB"/>
    <w:rsid w:val="00A70767"/>
    <w:rsid w:val="00A7085F"/>
    <w:rsid w:val="00A70D87"/>
    <w:rsid w:val="00A71C56"/>
    <w:rsid w:val="00A71DCA"/>
    <w:rsid w:val="00A71F84"/>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10B"/>
    <w:rsid w:val="00A87C2D"/>
    <w:rsid w:val="00A90ABD"/>
    <w:rsid w:val="00A90CCD"/>
    <w:rsid w:val="00A9634E"/>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59F"/>
    <w:rsid w:val="00AB6B3E"/>
    <w:rsid w:val="00AB6D52"/>
    <w:rsid w:val="00AB7941"/>
    <w:rsid w:val="00AB7E2E"/>
    <w:rsid w:val="00AC1009"/>
    <w:rsid w:val="00AC1A81"/>
    <w:rsid w:val="00AC1C71"/>
    <w:rsid w:val="00AC2C83"/>
    <w:rsid w:val="00AC334A"/>
    <w:rsid w:val="00AC3741"/>
    <w:rsid w:val="00AC3CC9"/>
    <w:rsid w:val="00AC4B3C"/>
    <w:rsid w:val="00AC6078"/>
    <w:rsid w:val="00AC6423"/>
    <w:rsid w:val="00AC6939"/>
    <w:rsid w:val="00AC7F0F"/>
    <w:rsid w:val="00AC7FB2"/>
    <w:rsid w:val="00AD06DC"/>
    <w:rsid w:val="00AD0863"/>
    <w:rsid w:val="00AD08EB"/>
    <w:rsid w:val="00AD1C57"/>
    <w:rsid w:val="00AD1CC2"/>
    <w:rsid w:val="00AD1EE9"/>
    <w:rsid w:val="00AD2F8F"/>
    <w:rsid w:val="00AD55B4"/>
    <w:rsid w:val="00AD56BA"/>
    <w:rsid w:val="00AD62D3"/>
    <w:rsid w:val="00AD7024"/>
    <w:rsid w:val="00AE08F7"/>
    <w:rsid w:val="00AE0ED0"/>
    <w:rsid w:val="00AE11AC"/>
    <w:rsid w:val="00AE376F"/>
    <w:rsid w:val="00AE3C36"/>
    <w:rsid w:val="00AE3FDB"/>
    <w:rsid w:val="00AF001F"/>
    <w:rsid w:val="00AF13D5"/>
    <w:rsid w:val="00AF13E8"/>
    <w:rsid w:val="00AF3EC7"/>
    <w:rsid w:val="00AF4A4F"/>
    <w:rsid w:val="00AF6D2B"/>
    <w:rsid w:val="00AF709E"/>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1704E"/>
    <w:rsid w:val="00B2012A"/>
    <w:rsid w:val="00B20549"/>
    <w:rsid w:val="00B20F3C"/>
    <w:rsid w:val="00B2119E"/>
    <w:rsid w:val="00B23087"/>
    <w:rsid w:val="00B24962"/>
    <w:rsid w:val="00B24D26"/>
    <w:rsid w:val="00B24F43"/>
    <w:rsid w:val="00B26F4C"/>
    <w:rsid w:val="00B31838"/>
    <w:rsid w:val="00B320A3"/>
    <w:rsid w:val="00B32C01"/>
    <w:rsid w:val="00B32EAC"/>
    <w:rsid w:val="00B3358A"/>
    <w:rsid w:val="00B337CD"/>
    <w:rsid w:val="00B35B25"/>
    <w:rsid w:val="00B35CB0"/>
    <w:rsid w:val="00B368AD"/>
    <w:rsid w:val="00B36D2C"/>
    <w:rsid w:val="00B37B66"/>
    <w:rsid w:val="00B37F34"/>
    <w:rsid w:val="00B40F29"/>
    <w:rsid w:val="00B413C9"/>
    <w:rsid w:val="00B41569"/>
    <w:rsid w:val="00B42325"/>
    <w:rsid w:val="00B4272F"/>
    <w:rsid w:val="00B42908"/>
    <w:rsid w:val="00B4542E"/>
    <w:rsid w:val="00B466E9"/>
    <w:rsid w:val="00B46AC8"/>
    <w:rsid w:val="00B46EFA"/>
    <w:rsid w:val="00B47C04"/>
    <w:rsid w:val="00B47D20"/>
    <w:rsid w:val="00B500CA"/>
    <w:rsid w:val="00B51171"/>
    <w:rsid w:val="00B51314"/>
    <w:rsid w:val="00B515AE"/>
    <w:rsid w:val="00B52167"/>
    <w:rsid w:val="00B529F5"/>
    <w:rsid w:val="00B52AC4"/>
    <w:rsid w:val="00B52F98"/>
    <w:rsid w:val="00B53FF4"/>
    <w:rsid w:val="00B5572A"/>
    <w:rsid w:val="00B55B9C"/>
    <w:rsid w:val="00B56240"/>
    <w:rsid w:val="00B5646C"/>
    <w:rsid w:val="00B61155"/>
    <w:rsid w:val="00B6131E"/>
    <w:rsid w:val="00B622F6"/>
    <w:rsid w:val="00B6367F"/>
    <w:rsid w:val="00B64A0B"/>
    <w:rsid w:val="00B64F9D"/>
    <w:rsid w:val="00B6586B"/>
    <w:rsid w:val="00B660BA"/>
    <w:rsid w:val="00B70101"/>
    <w:rsid w:val="00B70B50"/>
    <w:rsid w:val="00B716BB"/>
    <w:rsid w:val="00B7209F"/>
    <w:rsid w:val="00B72987"/>
    <w:rsid w:val="00B72BF9"/>
    <w:rsid w:val="00B73B99"/>
    <w:rsid w:val="00B74A2B"/>
    <w:rsid w:val="00B75251"/>
    <w:rsid w:val="00B752CA"/>
    <w:rsid w:val="00B75B5B"/>
    <w:rsid w:val="00B7613C"/>
    <w:rsid w:val="00B77B99"/>
    <w:rsid w:val="00B77E45"/>
    <w:rsid w:val="00B803AA"/>
    <w:rsid w:val="00B82129"/>
    <w:rsid w:val="00B8256B"/>
    <w:rsid w:val="00B83809"/>
    <w:rsid w:val="00B83823"/>
    <w:rsid w:val="00B83B2F"/>
    <w:rsid w:val="00B84B01"/>
    <w:rsid w:val="00B85528"/>
    <w:rsid w:val="00B85B76"/>
    <w:rsid w:val="00B87AB0"/>
    <w:rsid w:val="00B87D8B"/>
    <w:rsid w:val="00B92EF0"/>
    <w:rsid w:val="00B93113"/>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019"/>
    <w:rsid w:val="00BA6194"/>
    <w:rsid w:val="00BA66AF"/>
    <w:rsid w:val="00BA77EE"/>
    <w:rsid w:val="00BB109C"/>
    <w:rsid w:val="00BB157A"/>
    <w:rsid w:val="00BB2E74"/>
    <w:rsid w:val="00BB2E8E"/>
    <w:rsid w:val="00BB332E"/>
    <w:rsid w:val="00BB33BE"/>
    <w:rsid w:val="00BB3A0D"/>
    <w:rsid w:val="00BB3B4B"/>
    <w:rsid w:val="00BB4435"/>
    <w:rsid w:val="00BB4613"/>
    <w:rsid w:val="00BB4EC3"/>
    <w:rsid w:val="00BB779F"/>
    <w:rsid w:val="00BC01DC"/>
    <w:rsid w:val="00BC296D"/>
    <w:rsid w:val="00BC297E"/>
    <w:rsid w:val="00BC3162"/>
    <w:rsid w:val="00BC3A13"/>
    <w:rsid w:val="00BC3D6E"/>
    <w:rsid w:val="00BC3E44"/>
    <w:rsid w:val="00BC47B3"/>
    <w:rsid w:val="00BC49CD"/>
    <w:rsid w:val="00BC52AF"/>
    <w:rsid w:val="00BC5ABE"/>
    <w:rsid w:val="00BC61A0"/>
    <w:rsid w:val="00BC7432"/>
    <w:rsid w:val="00BC7FD4"/>
    <w:rsid w:val="00BD0DFF"/>
    <w:rsid w:val="00BD221E"/>
    <w:rsid w:val="00BD233C"/>
    <w:rsid w:val="00BD34DA"/>
    <w:rsid w:val="00BD398F"/>
    <w:rsid w:val="00BD42FC"/>
    <w:rsid w:val="00BD4F41"/>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19E7"/>
    <w:rsid w:val="00BF2162"/>
    <w:rsid w:val="00BF410D"/>
    <w:rsid w:val="00BF50E9"/>
    <w:rsid w:val="00BF5D70"/>
    <w:rsid w:val="00BF5E75"/>
    <w:rsid w:val="00BF606D"/>
    <w:rsid w:val="00BF794D"/>
    <w:rsid w:val="00C00D63"/>
    <w:rsid w:val="00C0129B"/>
    <w:rsid w:val="00C01600"/>
    <w:rsid w:val="00C026CE"/>
    <w:rsid w:val="00C026D6"/>
    <w:rsid w:val="00C03711"/>
    <w:rsid w:val="00C038C1"/>
    <w:rsid w:val="00C03F12"/>
    <w:rsid w:val="00C04101"/>
    <w:rsid w:val="00C045C0"/>
    <w:rsid w:val="00C0571F"/>
    <w:rsid w:val="00C058F7"/>
    <w:rsid w:val="00C0595A"/>
    <w:rsid w:val="00C05EDF"/>
    <w:rsid w:val="00C1001F"/>
    <w:rsid w:val="00C1161D"/>
    <w:rsid w:val="00C1242B"/>
    <w:rsid w:val="00C12DF3"/>
    <w:rsid w:val="00C14147"/>
    <w:rsid w:val="00C14440"/>
    <w:rsid w:val="00C15848"/>
    <w:rsid w:val="00C1596D"/>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287D"/>
    <w:rsid w:val="00C3315A"/>
    <w:rsid w:val="00C34D29"/>
    <w:rsid w:val="00C34F74"/>
    <w:rsid w:val="00C362A5"/>
    <w:rsid w:val="00C36D3B"/>
    <w:rsid w:val="00C36F57"/>
    <w:rsid w:val="00C40141"/>
    <w:rsid w:val="00C40187"/>
    <w:rsid w:val="00C40761"/>
    <w:rsid w:val="00C40928"/>
    <w:rsid w:val="00C40E70"/>
    <w:rsid w:val="00C41266"/>
    <w:rsid w:val="00C41EF1"/>
    <w:rsid w:val="00C41FB5"/>
    <w:rsid w:val="00C42BEE"/>
    <w:rsid w:val="00C43663"/>
    <w:rsid w:val="00C43A8C"/>
    <w:rsid w:val="00C448BE"/>
    <w:rsid w:val="00C45A5A"/>
    <w:rsid w:val="00C45AA6"/>
    <w:rsid w:val="00C45AD3"/>
    <w:rsid w:val="00C45EC3"/>
    <w:rsid w:val="00C46116"/>
    <w:rsid w:val="00C461E1"/>
    <w:rsid w:val="00C46EB3"/>
    <w:rsid w:val="00C474BB"/>
    <w:rsid w:val="00C47F05"/>
    <w:rsid w:val="00C50B85"/>
    <w:rsid w:val="00C5176D"/>
    <w:rsid w:val="00C54B5E"/>
    <w:rsid w:val="00C561A5"/>
    <w:rsid w:val="00C5624B"/>
    <w:rsid w:val="00C57461"/>
    <w:rsid w:val="00C57A53"/>
    <w:rsid w:val="00C57B89"/>
    <w:rsid w:val="00C616DF"/>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711A3"/>
    <w:rsid w:val="00C713E2"/>
    <w:rsid w:val="00C71576"/>
    <w:rsid w:val="00C7303A"/>
    <w:rsid w:val="00C74CA2"/>
    <w:rsid w:val="00C757C7"/>
    <w:rsid w:val="00C75FBB"/>
    <w:rsid w:val="00C774F6"/>
    <w:rsid w:val="00C80F8C"/>
    <w:rsid w:val="00C81202"/>
    <w:rsid w:val="00C813B0"/>
    <w:rsid w:val="00C8229F"/>
    <w:rsid w:val="00C82F59"/>
    <w:rsid w:val="00C830DF"/>
    <w:rsid w:val="00C83405"/>
    <w:rsid w:val="00C83571"/>
    <w:rsid w:val="00C83B84"/>
    <w:rsid w:val="00C84874"/>
    <w:rsid w:val="00C85387"/>
    <w:rsid w:val="00C853E5"/>
    <w:rsid w:val="00C85594"/>
    <w:rsid w:val="00C85A65"/>
    <w:rsid w:val="00C85C8E"/>
    <w:rsid w:val="00C85DDA"/>
    <w:rsid w:val="00C86150"/>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52A1"/>
    <w:rsid w:val="00CA5494"/>
    <w:rsid w:val="00CA594F"/>
    <w:rsid w:val="00CA633B"/>
    <w:rsid w:val="00CA6523"/>
    <w:rsid w:val="00CA6B02"/>
    <w:rsid w:val="00CA795D"/>
    <w:rsid w:val="00CA7D51"/>
    <w:rsid w:val="00CA7F11"/>
    <w:rsid w:val="00CB0A0F"/>
    <w:rsid w:val="00CB183D"/>
    <w:rsid w:val="00CB3338"/>
    <w:rsid w:val="00CB3479"/>
    <w:rsid w:val="00CB3575"/>
    <w:rsid w:val="00CB3EC0"/>
    <w:rsid w:val="00CB4B98"/>
    <w:rsid w:val="00CB6D1A"/>
    <w:rsid w:val="00CB75BE"/>
    <w:rsid w:val="00CC1ED7"/>
    <w:rsid w:val="00CC1F22"/>
    <w:rsid w:val="00CC26E9"/>
    <w:rsid w:val="00CC2927"/>
    <w:rsid w:val="00CC2BC6"/>
    <w:rsid w:val="00CC2E5D"/>
    <w:rsid w:val="00CC3236"/>
    <w:rsid w:val="00CC3242"/>
    <w:rsid w:val="00CC340D"/>
    <w:rsid w:val="00CC355C"/>
    <w:rsid w:val="00CC36FC"/>
    <w:rsid w:val="00CC436D"/>
    <w:rsid w:val="00CC6BA4"/>
    <w:rsid w:val="00CC6E12"/>
    <w:rsid w:val="00CC7079"/>
    <w:rsid w:val="00CC786F"/>
    <w:rsid w:val="00CD0512"/>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E29"/>
    <w:rsid w:val="00CF1FB4"/>
    <w:rsid w:val="00CF2379"/>
    <w:rsid w:val="00CF2BF1"/>
    <w:rsid w:val="00CF2BF3"/>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13A1"/>
    <w:rsid w:val="00D01A6B"/>
    <w:rsid w:val="00D01F09"/>
    <w:rsid w:val="00D020F7"/>
    <w:rsid w:val="00D02332"/>
    <w:rsid w:val="00D03FBC"/>
    <w:rsid w:val="00D0416F"/>
    <w:rsid w:val="00D04446"/>
    <w:rsid w:val="00D1029B"/>
    <w:rsid w:val="00D106DA"/>
    <w:rsid w:val="00D10B83"/>
    <w:rsid w:val="00D1151C"/>
    <w:rsid w:val="00D1261B"/>
    <w:rsid w:val="00D1289F"/>
    <w:rsid w:val="00D12EEC"/>
    <w:rsid w:val="00D131A1"/>
    <w:rsid w:val="00D1334B"/>
    <w:rsid w:val="00D153B0"/>
    <w:rsid w:val="00D15807"/>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CBB"/>
    <w:rsid w:val="00D3342D"/>
    <w:rsid w:val="00D33B4A"/>
    <w:rsid w:val="00D349C1"/>
    <w:rsid w:val="00D34ED4"/>
    <w:rsid w:val="00D366C3"/>
    <w:rsid w:val="00D36AF9"/>
    <w:rsid w:val="00D36C21"/>
    <w:rsid w:val="00D37316"/>
    <w:rsid w:val="00D377A7"/>
    <w:rsid w:val="00D40EF4"/>
    <w:rsid w:val="00D4110B"/>
    <w:rsid w:val="00D4116E"/>
    <w:rsid w:val="00D41E2F"/>
    <w:rsid w:val="00D42136"/>
    <w:rsid w:val="00D42313"/>
    <w:rsid w:val="00D436B4"/>
    <w:rsid w:val="00D449EE"/>
    <w:rsid w:val="00D451ED"/>
    <w:rsid w:val="00D45676"/>
    <w:rsid w:val="00D45D06"/>
    <w:rsid w:val="00D46164"/>
    <w:rsid w:val="00D467A2"/>
    <w:rsid w:val="00D468DB"/>
    <w:rsid w:val="00D46D06"/>
    <w:rsid w:val="00D50D16"/>
    <w:rsid w:val="00D51E7D"/>
    <w:rsid w:val="00D5595E"/>
    <w:rsid w:val="00D577D1"/>
    <w:rsid w:val="00D60972"/>
    <w:rsid w:val="00D609EC"/>
    <w:rsid w:val="00D616AE"/>
    <w:rsid w:val="00D638D7"/>
    <w:rsid w:val="00D642D0"/>
    <w:rsid w:val="00D647EF"/>
    <w:rsid w:val="00D655D1"/>
    <w:rsid w:val="00D66A74"/>
    <w:rsid w:val="00D66D15"/>
    <w:rsid w:val="00D70310"/>
    <w:rsid w:val="00D70B87"/>
    <w:rsid w:val="00D7293B"/>
    <w:rsid w:val="00D73264"/>
    <w:rsid w:val="00D76492"/>
    <w:rsid w:val="00D76EF9"/>
    <w:rsid w:val="00D7734B"/>
    <w:rsid w:val="00D7777E"/>
    <w:rsid w:val="00D80629"/>
    <w:rsid w:val="00D822D0"/>
    <w:rsid w:val="00D8238B"/>
    <w:rsid w:val="00D82463"/>
    <w:rsid w:val="00D8436F"/>
    <w:rsid w:val="00D8465E"/>
    <w:rsid w:val="00D850C4"/>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103D"/>
    <w:rsid w:val="00DA1709"/>
    <w:rsid w:val="00DA28F7"/>
    <w:rsid w:val="00DA2978"/>
    <w:rsid w:val="00DA3E6E"/>
    <w:rsid w:val="00DA46CA"/>
    <w:rsid w:val="00DA533D"/>
    <w:rsid w:val="00DA6F79"/>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56D"/>
    <w:rsid w:val="00DC3940"/>
    <w:rsid w:val="00DC3C14"/>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1DC2"/>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E004CA"/>
    <w:rsid w:val="00E00745"/>
    <w:rsid w:val="00E019D6"/>
    <w:rsid w:val="00E03FFF"/>
    <w:rsid w:val="00E0544A"/>
    <w:rsid w:val="00E06173"/>
    <w:rsid w:val="00E0626E"/>
    <w:rsid w:val="00E114BE"/>
    <w:rsid w:val="00E12B46"/>
    <w:rsid w:val="00E12EC2"/>
    <w:rsid w:val="00E12FFE"/>
    <w:rsid w:val="00E13930"/>
    <w:rsid w:val="00E15066"/>
    <w:rsid w:val="00E150D0"/>
    <w:rsid w:val="00E1521D"/>
    <w:rsid w:val="00E15941"/>
    <w:rsid w:val="00E16630"/>
    <w:rsid w:val="00E16CF7"/>
    <w:rsid w:val="00E17613"/>
    <w:rsid w:val="00E20AB7"/>
    <w:rsid w:val="00E20C98"/>
    <w:rsid w:val="00E21612"/>
    <w:rsid w:val="00E21F12"/>
    <w:rsid w:val="00E22341"/>
    <w:rsid w:val="00E22669"/>
    <w:rsid w:val="00E23BC8"/>
    <w:rsid w:val="00E23D2A"/>
    <w:rsid w:val="00E241ED"/>
    <w:rsid w:val="00E24FBD"/>
    <w:rsid w:val="00E25BCF"/>
    <w:rsid w:val="00E25C24"/>
    <w:rsid w:val="00E26CE6"/>
    <w:rsid w:val="00E26F4B"/>
    <w:rsid w:val="00E27D9C"/>
    <w:rsid w:val="00E27EBE"/>
    <w:rsid w:val="00E300C1"/>
    <w:rsid w:val="00E300FC"/>
    <w:rsid w:val="00E30E21"/>
    <w:rsid w:val="00E31459"/>
    <w:rsid w:val="00E31495"/>
    <w:rsid w:val="00E3251E"/>
    <w:rsid w:val="00E32B0C"/>
    <w:rsid w:val="00E357A3"/>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409F"/>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31D3"/>
    <w:rsid w:val="00E73F25"/>
    <w:rsid w:val="00E742B1"/>
    <w:rsid w:val="00E755CB"/>
    <w:rsid w:val="00E7748E"/>
    <w:rsid w:val="00E776CC"/>
    <w:rsid w:val="00E779EB"/>
    <w:rsid w:val="00E8011D"/>
    <w:rsid w:val="00E8101B"/>
    <w:rsid w:val="00E81425"/>
    <w:rsid w:val="00E81567"/>
    <w:rsid w:val="00E82135"/>
    <w:rsid w:val="00E831D2"/>
    <w:rsid w:val="00E84436"/>
    <w:rsid w:val="00E848C7"/>
    <w:rsid w:val="00E856CF"/>
    <w:rsid w:val="00E85AB3"/>
    <w:rsid w:val="00E85F53"/>
    <w:rsid w:val="00E8679A"/>
    <w:rsid w:val="00E9274B"/>
    <w:rsid w:val="00E93069"/>
    <w:rsid w:val="00E93385"/>
    <w:rsid w:val="00E93E90"/>
    <w:rsid w:val="00E9614A"/>
    <w:rsid w:val="00E9788C"/>
    <w:rsid w:val="00EA112F"/>
    <w:rsid w:val="00EA1265"/>
    <w:rsid w:val="00EA244F"/>
    <w:rsid w:val="00EA42BF"/>
    <w:rsid w:val="00EA43EA"/>
    <w:rsid w:val="00EA447F"/>
    <w:rsid w:val="00EA4A77"/>
    <w:rsid w:val="00EA4AD5"/>
    <w:rsid w:val="00EA5087"/>
    <w:rsid w:val="00EA50FF"/>
    <w:rsid w:val="00EA5709"/>
    <w:rsid w:val="00EB0B71"/>
    <w:rsid w:val="00EB1D73"/>
    <w:rsid w:val="00EB2708"/>
    <w:rsid w:val="00EB2A2E"/>
    <w:rsid w:val="00EB2E3C"/>
    <w:rsid w:val="00EB449E"/>
    <w:rsid w:val="00EB45BF"/>
    <w:rsid w:val="00EB4D6D"/>
    <w:rsid w:val="00EB711B"/>
    <w:rsid w:val="00EB738E"/>
    <w:rsid w:val="00EC0858"/>
    <w:rsid w:val="00EC106D"/>
    <w:rsid w:val="00EC2832"/>
    <w:rsid w:val="00EC30F1"/>
    <w:rsid w:val="00EC3319"/>
    <w:rsid w:val="00EC3427"/>
    <w:rsid w:val="00EC416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889"/>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2868"/>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69C2"/>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3A8F"/>
    <w:rsid w:val="00F241A8"/>
    <w:rsid w:val="00F242A8"/>
    <w:rsid w:val="00F249C8"/>
    <w:rsid w:val="00F24BBD"/>
    <w:rsid w:val="00F25028"/>
    <w:rsid w:val="00F25320"/>
    <w:rsid w:val="00F25A46"/>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5C1D"/>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1C1"/>
    <w:rsid w:val="00F46419"/>
    <w:rsid w:val="00F501FF"/>
    <w:rsid w:val="00F50EE7"/>
    <w:rsid w:val="00F510AF"/>
    <w:rsid w:val="00F5114C"/>
    <w:rsid w:val="00F51DAF"/>
    <w:rsid w:val="00F51DE9"/>
    <w:rsid w:val="00F52804"/>
    <w:rsid w:val="00F5287A"/>
    <w:rsid w:val="00F532AC"/>
    <w:rsid w:val="00F533D7"/>
    <w:rsid w:val="00F54288"/>
    <w:rsid w:val="00F549EE"/>
    <w:rsid w:val="00F55536"/>
    <w:rsid w:val="00F56334"/>
    <w:rsid w:val="00F569AC"/>
    <w:rsid w:val="00F56AD0"/>
    <w:rsid w:val="00F61F20"/>
    <w:rsid w:val="00F62A6D"/>
    <w:rsid w:val="00F6328C"/>
    <w:rsid w:val="00F63B99"/>
    <w:rsid w:val="00F6414E"/>
    <w:rsid w:val="00F64A44"/>
    <w:rsid w:val="00F65457"/>
    <w:rsid w:val="00F654BF"/>
    <w:rsid w:val="00F6572A"/>
    <w:rsid w:val="00F66AFB"/>
    <w:rsid w:val="00F71398"/>
    <w:rsid w:val="00F714FD"/>
    <w:rsid w:val="00F71F1C"/>
    <w:rsid w:val="00F72532"/>
    <w:rsid w:val="00F72FAB"/>
    <w:rsid w:val="00F731E8"/>
    <w:rsid w:val="00F73A47"/>
    <w:rsid w:val="00F74040"/>
    <w:rsid w:val="00F75AB5"/>
    <w:rsid w:val="00F76035"/>
    <w:rsid w:val="00F763DF"/>
    <w:rsid w:val="00F77736"/>
    <w:rsid w:val="00F8058C"/>
    <w:rsid w:val="00F81005"/>
    <w:rsid w:val="00F81A2E"/>
    <w:rsid w:val="00F82255"/>
    <w:rsid w:val="00F82493"/>
    <w:rsid w:val="00F851DF"/>
    <w:rsid w:val="00F8683A"/>
    <w:rsid w:val="00F90B32"/>
    <w:rsid w:val="00F90C70"/>
    <w:rsid w:val="00F91FEE"/>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3EC"/>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6945"/>
    <w:rsid w:val="00FC7233"/>
    <w:rsid w:val="00FD1072"/>
    <w:rsid w:val="00FD1816"/>
    <w:rsid w:val="00FD246D"/>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5CC0"/>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 w:type="character" w:customStyle="1" w:styleId="ListParagraphChar">
    <w:name w:val="List Paragraph Char"/>
    <w:link w:val="ListParagraph"/>
    <w:uiPriority w:val="34"/>
    <w:locked/>
    <w:rsid w:val="00D436B4"/>
    <w:rPr>
      <w:rFonts w:ascii="Tahoma" w:eastAsia="Microsoft YaHei" w:hAnsi="Tahoma"/>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 w:type="character" w:customStyle="1" w:styleId="ListParagraphChar">
    <w:name w:val="List Paragraph Char"/>
    <w:link w:val="ListParagraph"/>
    <w:uiPriority w:val="34"/>
    <w:locked/>
    <w:rsid w:val="00D436B4"/>
    <w:rPr>
      <w:rFonts w:ascii="Tahoma" w:eastAsia="Microsoft YaHei"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0351190">
      <w:bodyDiv w:val="1"/>
      <w:marLeft w:val="0"/>
      <w:marRight w:val="0"/>
      <w:marTop w:val="0"/>
      <w:marBottom w:val="0"/>
      <w:divBdr>
        <w:top w:val="none" w:sz="0" w:space="0" w:color="auto"/>
        <w:left w:val="none" w:sz="0" w:space="0" w:color="auto"/>
        <w:bottom w:val="none" w:sz="0" w:space="0" w:color="auto"/>
        <w:right w:val="none" w:sz="0" w:space="0" w:color="auto"/>
      </w:divBdr>
      <w:divsChild>
        <w:div w:id="95172726">
          <w:marLeft w:val="1166"/>
          <w:marRight w:val="0"/>
          <w:marTop w:val="60"/>
          <w:marBottom w:val="60"/>
          <w:divBdr>
            <w:top w:val="none" w:sz="0" w:space="0" w:color="auto"/>
            <w:left w:val="none" w:sz="0" w:space="0" w:color="auto"/>
            <w:bottom w:val="none" w:sz="0" w:space="0" w:color="auto"/>
            <w:right w:val="none" w:sz="0" w:space="0" w:color="auto"/>
          </w:divBdr>
        </w:div>
        <w:div w:id="182860091">
          <w:marLeft w:val="1166"/>
          <w:marRight w:val="0"/>
          <w:marTop w:val="60"/>
          <w:marBottom w:val="60"/>
          <w:divBdr>
            <w:top w:val="none" w:sz="0" w:space="0" w:color="auto"/>
            <w:left w:val="none" w:sz="0" w:space="0" w:color="auto"/>
            <w:bottom w:val="none" w:sz="0" w:space="0" w:color="auto"/>
            <w:right w:val="none" w:sz="0" w:space="0" w:color="auto"/>
          </w:divBdr>
        </w:div>
        <w:div w:id="206340048">
          <w:marLeft w:val="1166"/>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0092646">
      <w:bodyDiv w:val="1"/>
      <w:marLeft w:val="0"/>
      <w:marRight w:val="0"/>
      <w:marTop w:val="0"/>
      <w:marBottom w:val="0"/>
      <w:divBdr>
        <w:top w:val="none" w:sz="0" w:space="0" w:color="auto"/>
        <w:left w:val="none" w:sz="0" w:space="0" w:color="auto"/>
        <w:bottom w:val="none" w:sz="0" w:space="0" w:color="auto"/>
        <w:right w:val="none" w:sz="0" w:space="0" w:color="auto"/>
      </w:divBdr>
      <w:divsChild>
        <w:div w:id="723407018">
          <w:marLeft w:val="1166"/>
          <w:marRight w:val="0"/>
          <w:marTop w:val="60"/>
          <w:marBottom w:val="6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0088458">
      <w:bodyDiv w:val="1"/>
      <w:marLeft w:val="0"/>
      <w:marRight w:val="0"/>
      <w:marTop w:val="0"/>
      <w:marBottom w:val="0"/>
      <w:divBdr>
        <w:top w:val="none" w:sz="0" w:space="0" w:color="auto"/>
        <w:left w:val="none" w:sz="0" w:space="0" w:color="auto"/>
        <w:bottom w:val="none" w:sz="0" w:space="0" w:color="auto"/>
        <w:right w:val="none" w:sz="0" w:space="0" w:color="auto"/>
      </w:divBdr>
      <w:divsChild>
        <w:div w:id="644700118">
          <w:marLeft w:val="1166"/>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09F49-0F7D-4BD1-B29D-F8D0FDBB7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2397</Words>
  <Characters>13665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Mangesh Abhimanyu Ingale (09528323)</cp:lastModifiedBy>
  <cp:revision>2</cp:revision>
  <cp:lastPrinted>2016-02-01T07:41:00Z</cp:lastPrinted>
  <dcterms:created xsi:type="dcterms:W3CDTF">2017-06-16T06:12:00Z</dcterms:created>
  <dcterms:modified xsi:type="dcterms:W3CDTF">2017-06-16T06:12:00Z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